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3BBFA5">
      <w:pPr>
        <w:snapToGrid w:val="0"/>
        <w:spacing w:before="156" w:beforeLines="50" w:line="300" w:lineRule="auto"/>
        <w:ind w:right="-2"/>
        <w:rPr>
          <w:rFonts w:hint="eastAsia" w:ascii="宋体" w:hAnsi="宋体" w:eastAsia="宋体" w:cs="宋体"/>
          <w:sz w:val="28"/>
          <w:szCs w:val="28"/>
        </w:rPr>
      </w:pPr>
      <w:r>
        <w:rPr>
          <w:rFonts w:hint="eastAsia" w:ascii="宋体" w:hAnsi="宋体" w:eastAsia="宋体" w:cs="宋体"/>
          <w:sz w:val="28"/>
          <w:szCs w:val="28"/>
        </w:rPr>
        <w:t>附件1：</w:t>
      </w:r>
    </w:p>
    <w:p w14:paraId="705C19E8">
      <w:pPr>
        <w:snapToGrid w:val="0"/>
        <w:spacing w:before="156" w:beforeLines="50" w:line="300" w:lineRule="auto"/>
        <w:ind w:right="-2"/>
        <w:rPr>
          <w:rFonts w:hint="eastAsia"/>
          <w:sz w:val="28"/>
          <w:szCs w:val="28"/>
        </w:rPr>
      </w:pPr>
    </w:p>
    <w:p w14:paraId="6DED48D8">
      <w:pPr>
        <w:spacing w:line="700" w:lineRule="exact"/>
        <w:jc w:val="center"/>
        <w:rPr>
          <w:rFonts w:hint="eastAsia" w:ascii="小标宋" w:hAnsi="黑体" w:eastAsia="小标宋" w:cs="宋体"/>
          <w:kern w:val="0"/>
          <w:sz w:val="44"/>
          <w:szCs w:val="44"/>
        </w:rPr>
      </w:pPr>
      <w:r>
        <w:rPr>
          <w:rFonts w:hint="eastAsia" w:ascii="小标宋" w:hAnsi="黑体" w:eastAsia="小标宋" w:cs="宋体"/>
          <w:kern w:val="0"/>
          <w:sz w:val="44"/>
          <w:szCs w:val="44"/>
        </w:rPr>
        <w:t>北京林业大学研究生教育教学改革项目</w:t>
      </w:r>
    </w:p>
    <w:p w14:paraId="66C6198C">
      <w:pPr>
        <w:spacing w:line="700" w:lineRule="exact"/>
        <w:jc w:val="center"/>
        <w:rPr>
          <w:rFonts w:hint="eastAsia" w:ascii="小标宋" w:hAnsi="黑体" w:eastAsia="小标宋" w:cs="宋体"/>
          <w:kern w:val="0"/>
          <w:sz w:val="44"/>
          <w:szCs w:val="44"/>
        </w:rPr>
      </w:pPr>
      <w:r>
        <w:rPr>
          <w:rFonts w:hint="eastAsia" w:ascii="小标宋" w:hAnsi="黑体" w:eastAsia="小标宋" w:cs="宋体"/>
          <w:kern w:val="0"/>
          <w:sz w:val="44"/>
          <w:szCs w:val="44"/>
        </w:rPr>
        <w:t>202</w:t>
      </w:r>
      <w:r>
        <w:rPr>
          <w:rFonts w:hint="eastAsia" w:ascii="小标宋" w:hAnsi="黑体" w:eastAsia="小标宋" w:cs="宋体"/>
          <w:kern w:val="0"/>
          <w:sz w:val="44"/>
          <w:szCs w:val="44"/>
          <w:lang w:val="en-US" w:eastAsia="zh-CN"/>
        </w:rPr>
        <w:t>6</w:t>
      </w:r>
      <w:r>
        <w:rPr>
          <w:rFonts w:hint="eastAsia" w:ascii="小标宋" w:hAnsi="黑体" w:eastAsia="小标宋" w:cs="宋体"/>
          <w:kern w:val="0"/>
          <w:sz w:val="44"/>
          <w:szCs w:val="44"/>
        </w:rPr>
        <w:t>年度立项申报指南</w:t>
      </w:r>
    </w:p>
    <w:p w14:paraId="0F11926A">
      <w:pPr>
        <w:snapToGrid w:val="0"/>
        <w:spacing w:before="156" w:beforeLines="50" w:line="300" w:lineRule="auto"/>
        <w:ind w:right="-2"/>
        <w:jc w:val="center"/>
        <w:rPr>
          <w:rFonts w:ascii="黑体" w:hAnsi="黑体" w:eastAsia="黑体"/>
          <w:sz w:val="36"/>
          <w:szCs w:val="36"/>
        </w:rPr>
      </w:pPr>
    </w:p>
    <w:p w14:paraId="109DE0A0">
      <w:pPr>
        <w:spacing w:line="56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为深入学习贯彻党的二十大及二十届历次全会精神、全国教育大会和全国研究生教育会议精神，全面贯彻落实《教育强国建设规划纲要（2024—2035年）》《教育部等九部门关于加快推进教育数字化的意见》和《教育部关于深入推进学术学位与专业学位研究生教育分类发展的意见》</w:t>
      </w:r>
      <w:r>
        <w:rPr>
          <w:rFonts w:hint="eastAsia" w:ascii="仿宋_GB2312" w:hAnsi="Calibri" w:eastAsia="仿宋_GB2312" w:cs="Times New Roman"/>
          <w:sz w:val="32"/>
          <w:szCs w:val="32"/>
          <w:lang w:val="en-US" w:eastAsia="zh-CN"/>
        </w:rPr>
        <w:tab/>
      </w:r>
      <w:r>
        <w:rPr>
          <w:rFonts w:hint="eastAsia" w:ascii="仿宋_GB2312" w:hAnsi="Calibri" w:eastAsia="仿宋_GB2312" w:cs="Times New Roman"/>
          <w:sz w:val="32"/>
          <w:szCs w:val="32"/>
          <w:lang w:val="en-US" w:eastAsia="zh-CN"/>
        </w:rPr>
        <w:t>（教研〔2023〕2号），加强研究生教育教学改革项目的牵引作用，提高项目的研究水平和实际效益，进一步提高研究生培养质量，结合实际情况，特制定本指南。</w:t>
      </w:r>
    </w:p>
    <w:p w14:paraId="257387DC">
      <w:pPr>
        <w:widowControl/>
        <w:numPr>
          <w:ilvl w:val="0"/>
          <w:numId w:val="1"/>
        </w:numPr>
        <w:spacing w:line="560" w:lineRule="exact"/>
        <w:ind w:firstLine="640" w:firstLineChars="200"/>
        <w:jc w:val="left"/>
        <w:rPr>
          <w:rFonts w:hint="eastAsia" w:ascii="黑体" w:hAnsi="黑体" w:eastAsia="黑体"/>
          <w:sz w:val="32"/>
          <w:szCs w:val="32"/>
          <w:lang w:val="en-US" w:eastAsia="zh-CN"/>
        </w:rPr>
      </w:pPr>
      <w:r>
        <w:rPr>
          <w:rFonts w:hint="eastAsia" w:ascii="黑体" w:hAnsi="黑体" w:eastAsia="黑体"/>
          <w:sz w:val="32"/>
          <w:szCs w:val="32"/>
          <w:lang w:val="en-US" w:eastAsia="zh-CN"/>
        </w:rPr>
        <w:t>项目设置</w:t>
      </w:r>
    </w:p>
    <w:p w14:paraId="327C5428">
      <w:pPr>
        <w:widowControl/>
        <w:spacing w:line="560" w:lineRule="exact"/>
        <w:ind w:firstLine="640" w:firstLineChars="200"/>
        <w:rPr>
          <w:rFonts w:hint="default"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本项目设重点项目和一般项目。重点项目原则上不超过立项课题的20%，一般建设项目根据实际发展需要和当年申报情况</w:t>
      </w:r>
      <w:bookmarkStart w:id="1" w:name="_GoBack"/>
      <w:bookmarkEnd w:id="1"/>
      <w:r>
        <w:rPr>
          <w:rFonts w:hint="eastAsia" w:ascii="仿宋_GB2312" w:hAnsi="Calibri" w:eastAsia="仿宋_GB2312" w:cs="Times New Roman"/>
          <w:sz w:val="32"/>
          <w:szCs w:val="32"/>
          <w:lang w:val="en-US" w:eastAsia="zh-CN"/>
        </w:rPr>
        <w:t>设置。</w:t>
      </w:r>
    </w:p>
    <w:p w14:paraId="53CD9285">
      <w:pPr>
        <w:widowControl/>
        <w:numPr>
          <w:ilvl w:val="0"/>
          <w:numId w:val="1"/>
        </w:numPr>
        <w:spacing w:line="560" w:lineRule="exact"/>
        <w:ind w:firstLine="640" w:firstLineChars="200"/>
        <w:jc w:val="left"/>
        <w:rPr>
          <w:rFonts w:hint="eastAsia" w:ascii="黑体" w:hAnsi="黑体" w:eastAsia="黑体"/>
          <w:sz w:val="32"/>
          <w:szCs w:val="32"/>
          <w:lang w:val="en-US" w:eastAsia="zh-CN"/>
        </w:rPr>
      </w:pPr>
      <w:r>
        <w:rPr>
          <w:rFonts w:hint="eastAsia" w:ascii="黑体" w:hAnsi="黑体" w:eastAsia="黑体"/>
          <w:sz w:val="32"/>
          <w:szCs w:val="32"/>
          <w:lang w:val="en-US" w:eastAsia="zh-CN"/>
        </w:rPr>
        <w:t>重点项目</w:t>
      </w:r>
    </w:p>
    <w:p w14:paraId="3162ED3F">
      <w:pPr>
        <w:widowControl/>
        <w:spacing w:line="560" w:lineRule="exact"/>
        <w:ind w:firstLine="643" w:firstLineChars="200"/>
        <w:rPr>
          <w:rFonts w:hint="eastAsia" w:ascii="仿宋_GB2312" w:hAnsi="Calibri" w:eastAsia="仿宋_GB2312" w:cs="Times New Roman"/>
          <w:sz w:val="32"/>
          <w:szCs w:val="32"/>
          <w:lang w:val="en-US" w:eastAsia="zh-CN"/>
        </w:rPr>
      </w:pPr>
      <w:r>
        <w:rPr>
          <w:rFonts w:hint="eastAsia" w:ascii="楷体_GB2312" w:hAnsi="Calibri" w:eastAsia="楷体_GB2312" w:cs="Times New Roman"/>
          <w:b/>
          <w:bCs/>
          <w:color w:val="000000"/>
          <w:sz w:val="32"/>
          <w:szCs w:val="32"/>
          <w:lang w:val="en-US" w:eastAsia="zh-CN"/>
        </w:rPr>
        <w:t>（一）培养方案改革</w:t>
      </w:r>
      <w:r>
        <w:rPr>
          <w:rFonts w:hint="eastAsia" w:ascii="仿宋_GB2312" w:eastAsia="仿宋_GB2312"/>
          <w:sz w:val="32"/>
          <w:szCs w:val="32"/>
          <w:lang w:val="en-US" w:eastAsia="zh-CN"/>
        </w:rPr>
        <w:t>。</w:t>
      </w:r>
      <w:r>
        <w:rPr>
          <w:rFonts w:hint="eastAsia" w:ascii="仿宋_GB2312" w:hAnsi="Calibri" w:eastAsia="仿宋_GB2312" w:cs="Times New Roman"/>
          <w:sz w:val="32"/>
          <w:szCs w:val="32"/>
          <w:lang w:val="en-US" w:eastAsia="zh-CN"/>
        </w:rPr>
        <w:t>聚焦生态文明建设国家战略，重点围绕国家急需的优势特色学科、交叉学科及新成立学科凝练具有北林特色的拔尖创新人才培养模式，优化研究生培养方案，形成科学系统的研究生培养方案。</w:t>
      </w:r>
    </w:p>
    <w:p w14:paraId="2AE88EC7">
      <w:pPr>
        <w:widowControl/>
        <w:spacing w:line="560" w:lineRule="exact"/>
        <w:ind w:firstLine="643" w:firstLineChars="200"/>
        <w:rPr>
          <w:rFonts w:hint="eastAsia" w:ascii="仿宋_GB2312" w:eastAsia="仿宋_GB2312"/>
          <w:sz w:val="32"/>
          <w:szCs w:val="32"/>
          <w:lang w:val="en-US" w:eastAsia="zh-CN"/>
        </w:rPr>
      </w:pPr>
      <w:r>
        <w:rPr>
          <w:rFonts w:hint="eastAsia" w:ascii="楷体_GB2312" w:hAnsi="Calibri" w:eastAsia="楷体_GB2312" w:cs="Times New Roman"/>
          <w:b/>
          <w:bCs/>
          <w:color w:val="000000"/>
          <w:sz w:val="32"/>
          <w:szCs w:val="32"/>
          <w:lang w:val="en-US" w:eastAsia="zh-CN"/>
        </w:rPr>
        <w:t>（二）人工智能建设</w:t>
      </w:r>
      <w:r>
        <w:rPr>
          <w:rFonts w:hint="eastAsia" w:ascii="仿宋_GB2312" w:eastAsia="仿宋_GB2312"/>
          <w:sz w:val="32"/>
          <w:szCs w:val="32"/>
          <w:lang w:val="en-US" w:eastAsia="zh-CN"/>
        </w:rPr>
        <w:t>。鼓励深化人工智能+学科融合，系统性推动研究生课程体系数智化；创新教学范式，依托人工智能实现研究生个性化学习路径规划与自适应资源推送，提升培养精准度。鼓励科研范式创新。构建特色学科专业大模型，强化人工智能在科研选题、实践实训、数据分析的支撑能力；部署“AI for Research”智能体工具，覆盖知识管理、实验设计、数据建模、交叉研究、论文写作等科研全链条，提升研究生创新效率与创新质量学校研究生人才培养实际，从理论探讨、方法研究、实践应用、成果推广等不同层面创新探索新的途径和领域。</w:t>
      </w:r>
    </w:p>
    <w:p w14:paraId="100EFBCD">
      <w:pPr>
        <w:widowControl/>
        <w:numPr>
          <w:ilvl w:val="0"/>
          <w:numId w:val="0"/>
        </w:numPr>
        <w:spacing w:line="560" w:lineRule="exact"/>
        <w:ind w:firstLine="643" w:firstLineChars="200"/>
        <w:rPr>
          <w:rFonts w:hint="eastAsia" w:ascii="仿宋_GB2312" w:eastAsia="仿宋_GB2312"/>
          <w:sz w:val="32"/>
          <w:szCs w:val="32"/>
          <w:lang w:val="en-US" w:eastAsia="zh-CN"/>
        </w:rPr>
      </w:pPr>
      <w:r>
        <w:rPr>
          <w:rFonts w:hint="eastAsia" w:ascii="楷体_GB2312" w:hAnsi="Calibri" w:eastAsia="楷体_GB2312" w:cs="Times New Roman"/>
          <w:b/>
          <w:bCs/>
          <w:color w:val="000000"/>
          <w:sz w:val="32"/>
          <w:szCs w:val="32"/>
          <w:lang w:val="en-US" w:eastAsia="zh-CN"/>
        </w:rPr>
        <w:t>（三）课程体系优化</w:t>
      </w:r>
      <w:r>
        <w:rPr>
          <w:rFonts w:hint="eastAsia" w:ascii="仿宋_GB2312" w:eastAsia="仿宋_GB2312"/>
          <w:sz w:val="32"/>
          <w:szCs w:val="32"/>
          <w:lang w:val="en-US" w:eastAsia="zh-CN"/>
        </w:rPr>
        <w:t>。以一级学科和专业学位类别系统重构研究生课程体系，严格对照一级学科和专业学位研究生核心课程指南，结合本学科专业发展方向，系统设置扎实的学科门类核心课程和专业方向核心课程，鼓励开设学科前沿、特色鲜明的高阶课程与专题模块，构建具有北林标识度的课程体系。</w:t>
      </w:r>
    </w:p>
    <w:p w14:paraId="4FB36661">
      <w:pPr>
        <w:widowControl/>
        <w:numPr>
          <w:ilvl w:val="0"/>
          <w:numId w:val="0"/>
        </w:numPr>
        <w:spacing w:line="560" w:lineRule="exact"/>
        <w:ind w:firstLine="643" w:firstLineChars="200"/>
        <w:rPr>
          <w:rFonts w:hint="eastAsia" w:ascii="黑体" w:hAnsi="黑体" w:eastAsia="黑体"/>
          <w:sz w:val="32"/>
          <w:szCs w:val="32"/>
        </w:rPr>
      </w:pPr>
      <w:r>
        <w:rPr>
          <w:rFonts w:hint="eastAsia" w:ascii="楷体_GB2312" w:hAnsi="Calibri" w:eastAsia="楷体_GB2312" w:cs="Times New Roman"/>
          <w:b/>
          <w:bCs/>
          <w:color w:val="000000"/>
          <w:sz w:val="32"/>
          <w:szCs w:val="32"/>
          <w:lang w:val="en-US" w:eastAsia="zh-CN"/>
        </w:rPr>
        <w:t>（四）专业学位培养机制探索</w:t>
      </w:r>
      <w:r>
        <w:rPr>
          <w:rFonts w:hint="eastAsia" w:ascii="仿宋_GB2312" w:eastAsia="仿宋_GB2312"/>
          <w:b/>
          <w:bCs/>
          <w:sz w:val="32"/>
          <w:szCs w:val="32"/>
          <w:lang w:val="en-US" w:eastAsia="zh-CN"/>
        </w:rPr>
        <w:t>。</w:t>
      </w:r>
      <w:r>
        <w:rPr>
          <w:rFonts w:hint="eastAsia" w:ascii="仿宋_GB2312" w:eastAsia="仿宋_GB2312"/>
          <w:b w:val="0"/>
          <w:bCs w:val="0"/>
          <w:sz w:val="32"/>
          <w:szCs w:val="32"/>
          <w:lang w:val="en-US" w:eastAsia="zh-CN"/>
        </w:rPr>
        <w:t>鼓励以联合培养基地的提质增效为关键突破口，增强专业学位研究生实践能力。完善联合培养基地规范管理、运行评估、协调调度、分类评价与激励机制。鼓励校外导师联合培养，整合优化教育资源，形成一批可复制、可推广的深度协同育人模式。</w:t>
      </w:r>
    </w:p>
    <w:p w14:paraId="67148830">
      <w:pPr>
        <w:widowControl/>
        <w:numPr>
          <w:ilvl w:val="0"/>
          <w:numId w:val="1"/>
        </w:numPr>
        <w:spacing w:line="560" w:lineRule="exact"/>
        <w:ind w:firstLine="640" w:firstLineChars="200"/>
        <w:jc w:val="left"/>
        <w:rPr>
          <w:rFonts w:hint="eastAsia" w:ascii="黑体" w:hAnsi="黑体" w:eastAsia="黑体"/>
          <w:sz w:val="32"/>
          <w:szCs w:val="32"/>
          <w:lang w:val="en-US" w:eastAsia="zh-CN"/>
        </w:rPr>
      </w:pPr>
      <w:r>
        <w:rPr>
          <w:rFonts w:hint="eastAsia" w:ascii="黑体" w:hAnsi="黑体" w:eastAsia="黑体"/>
          <w:sz w:val="32"/>
          <w:szCs w:val="32"/>
          <w:lang w:val="en-US" w:eastAsia="zh-CN"/>
        </w:rPr>
        <w:t>一般项目</w:t>
      </w:r>
    </w:p>
    <w:p w14:paraId="47B6061E">
      <w:pPr>
        <w:widowControl/>
        <w:spacing w:line="560" w:lineRule="exact"/>
        <w:ind w:firstLine="643" w:firstLineChars="200"/>
        <w:rPr>
          <w:rFonts w:hint="eastAsia" w:ascii="楷体_GB2312" w:hAnsi="Calibri" w:eastAsia="楷体_GB2312" w:cs="Times New Roman"/>
          <w:b/>
          <w:bCs/>
          <w:color w:val="000000"/>
          <w:sz w:val="32"/>
          <w:szCs w:val="32"/>
          <w:lang w:val="en-US" w:eastAsia="zh-CN"/>
        </w:rPr>
      </w:pPr>
      <w:r>
        <w:rPr>
          <w:rFonts w:hint="eastAsia" w:ascii="楷体_GB2312" w:hAnsi="Calibri" w:eastAsia="楷体_GB2312" w:cs="Times New Roman"/>
          <w:b/>
          <w:bCs/>
          <w:color w:val="000000"/>
          <w:sz w:val="32"/>
          <w:szCs w:val="32"/>
          <w:lang w:val="en-US" w:eastAsia="zh-CN"/>
        </w:rPr>
        <w:t>（一）优质研究生核心课程建设项目</w:t>
      </w:r>
    </w:p>
    <w:p w14:paraId="2D15774E">
      <w:pPr>
        <w:spacing w:line="56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1.申报的课程严格对照国务院学位委员会学科评议组制定的一级学科核心课程目录或各专业学位教指委制定的专业学位课程核心目录（以下简称“核心目录”）中的课程，对本学科（专业学位类别/领域）的课程体系具有重要的支撑作用；</w:t>
      </w:r>
    </w:p>
    <w:p w14:paraId="2B8EACFA">
      <w:pPr>
        <w:spacing w:line="56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2.申报课程可以是“核心目录”中要求但目前未建设的；也可以是连续开设3年（含3年）以上且学生受益面广、研究生对本门课程满意度较高的</w:t>
      </w:r>
      <w:bookmarkStart w:id="0" w:name="OLE_LINK3"/>
      <w:r>
        <w:rPr>
          <w:rFonts w:hint="eastAsia" w:ascii="仿宋_GB2312" w:hAnsi="Calibri" w:eastAsia="仿宋_GB2312" w:cs="Times New Roman"/>
          <w:sz w:val="32"/>
          <w:szCs w:val="32"/>
          <w:lang w:val="en-US" w:eastAsia="zh-CN"/>
        </w:rPr>
        <w:t>学位课（公共课程和专业课）</w:t>
      </w:r>
      <w:bookmarkEnd w:id="0"/>
      <w:r>
        <w:rPr>
          <w:rFonts w:hint="eastAsia" w:ascii="仿宋_GB2312" w:hAnsi="Calibri" w:eastAsia="仿宋_GB2312" w:cs="Times New Roman"/>
          <w:sz w:val="32"/>
          <w:szCs w:val="32"/>
          <w:lang w:val="en-US" w:eastAsia="zh-CN"/>
        </w:rPr>
        <w:t>；</w:t>
      </w:r>
    </w:p>
    <w:p w14:paraId="1B8EAACB">
      <w:pPr>
        <w:spacing w:line="56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3.支持并鼓励学科在专业核心课程建设方面进行积极探索。</w:t>
      </w:r>
    </w:p>
    <w:p w14:paraId="4B3AFB85">
      <w:pPr>
        <w:widowControl/>
        <w:spacing w:line="560" w:lineRule="exact"/>
        <w:ind w:firstLine="643" w:firstLineChars="200"/>
        <w:rPr>
          <w:rFonts w:hint="eastAsia" w:ascii="楷体_GB2312" w:hAnsi="Calibri" w:eastAsia="楷体_GB2312" w:cs="Times New Roman"/>
          <w:b/>
          <w:bCs/>
          <w:color w:val="000000"/>
          <w:sz w:val="32"/>
          <w:szCs w:val="32"/>
          <w:lang w:val="en-US" w:eastAsia="zh-CN"/>
        </w:rPr>
      </w:pPr>
      <w:r>
        <w:rPr>
          <w:rFonts w:hint="eastAsia" w:ascii="楷体_GB2312" w:hAnsi="Calibri" w:eastAsia="楷体_GB2312" w:cs="Times New Roman"/>
          <w:b/>
          <w:bCs/>
          <w:color w:val="000000"/>
          <w:sz w:val="32"/>
          <w:szCs w:val="32"/>
          <w:lang w:val="en-US" w:eastAsia="zh-CN"/>
        </w:rPr>
        <w:t>（二）专业学位研究生课程案例库建设项目</w:t>
      </w:r>
    </w:p>
    <w:p w14:paraId="3868A740">
      <w:pPr>
        <w:spacing w:line="56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1.项目负责人讲授申报课程不少于一轮，具有行业企业案例开发经验，掌握一定行业企业资源，并能够持续跟踪、开发专业学位教学案例。鼓励吸收行业、企业骨干以及研究生等共同参与；</w:t>
      </w:r>
    </w:p>
    <w:p w14:paraId="21E520E3">
      <w:pPr>
        <w:spacing w:line="56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2.教学案例应符合典型性、客观性、先进性和创新性的要求，案例应结合教学与研究中的热点问题，或领域内重点问题，或实践中代表性问题，成果应该能够在专业学位课程教学中运用，并可在相关专业范围内共享；</w:t>
      </w:r>
    </w:p>
    <w:p w14:paraId="6E2B67BF">
      <w:pPr>
        <w:spacing w:line="56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3.教学案例应能体现专业学位培养特点，聚焦时代热点，反映相关行业对专业学位研究生课程教学的时代需求，对研究生的实践工作具有参考性和启发性；</w:t>
      </w:r>
    </w:p>
    <w:p w14:paraId="12380EF0">
      <w:pPr>
        <w:spacing w:line="56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4.教学案例需突出文字可读性、教学适用性、构思巧妙性、思考启发性，并配套教学指导说明书，明确教学目标，设计启发性问题，给出案例分析的逻辑路径，合理引导学生进行案例分析，成果形式包括“文字案例”“小微案例”“视频案例”，以“文字案例”为主。</w:t>
      </w:r>
    </w:p>
    <w:p w14:paraId="594635F6">
      <w:pPr>
        <w:widowControl/>
        <w:spacing w:line="560" w:lineRule="exact"/>
        <w:ind w:firstLine="643" w:firstLineChars="200"/>
        <w:rPr>
          <w:rFonts w:hint="eastAsia" w:ascii="楷体_GB2312" w:hAnsi="Calibri" w:eastAsia="楷体_GB2312" w:cs="Times New Roman"/>
          <w:b/>
          <w:bCs/>
          <w:color w:val="000000"/>
          <w:sz w:val="32"/>
          <w:szCs w:val="32"/>
          <w:lang w:val="en-US" w:eastAsia="zh-CN"/>
        </w:rPr>
      </w:pPr>
      <w:r>
        <w:rPr>
          <w:rFonts w:hint="eastAsia" w:ascii="楷体_GB2312" w:hAnsi="Calibri" w:eastAsia="楷体_GB2312" w:cs="Times New Roman"/>
          <w:b/>
          <w:bCs/>
          <w:color w:val="000000"/>
          <w:sz w:val="32"/>
          <w:szCs w:val="32"/>
          <w:lang w:val="en-US" w:eastAsia="zh-CN"/>
        </w:rPr>
        <w:t>（三）研究生课程思政建设项目</w:t>
      </w:r>
    </w:p>
    <w:p w14:paraId="5674D094">
      <w:pPr>
        <w:spacing w:line="56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1.思政课教师、辅导员等共同讲授过本课程的优先支持；</w:t>
      </w:r>
    </w:p>
    <w:p w14:paraId="5A72A6E4">
      <w:pPr>
        <w:spacing w:line="56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2.项目负责人讲授该申报课程不少于一轮，教学改革经验教丰富，教学方法得当，教学效果好。</w:t>
      </w:r>
    </w:p>
    <w:p w14:paraId="5AAC04A9">
      <w:pPr>
        <w:spacing w:line="56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3.课程应以马克思列宁主义、毛泽东思想、邓小平理论、“三个代表”重要思想、科学发展观、习近平新时代中国特色社会主义思想为指导，坚持知识传授与价值引领相结合，引导学生树立正确的人生观、价值观、世界观；</w:t>
      </w:r>
    </w:p>
    <w:p w14:paraId="76CF4BE5">
      <w:pPr>
        <w:spacing w:line="56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4.课程应注重体现学校办学定位和专业特色，结合所在学科专业、所属课程类型的育人要求和特点，深入挖掘梳理课程的思政元素，优化课程思政内容供给，科学设计课程目标、教学方案和教学课件，将思政教育有机融入课程教学，达到润物无声的育人效果。</w:t>
      </w:r>
    </w:p>
    <w:p w14:paraId="7D335622">
      <w:pPr>
        <w:widowControl/>
        <w:numPr>
          <w:ilvl w:val="0"/>
          <w:numId w:val="1"/>
        </w:numPr>
        <w:spacing w:line="560" w:lineRule="exact"/>
        <w:ind w:firstLine="640" w:firstLineChars="200"/>
        <w:jc w:val="left"/>
        <w:rPr>
          <w:rFonts w:hint="eastAsia" w:ascii="黑体" w:hAnsi="黑体" w:eastAsia="黑体"/>
          <w:sz w:val="32"/>
          <w:szCs w:val="32"/>
          <w:lang w:val="en-US" w:eastAsia="zh-CN"/>
        </w:rPr>
      </w:pPr>
      <w:r>
        <w:rPr>
          <w:rFonts w:hint="eastAsia" w:ascii="黑体" w:hAnsi="黑体" w:eastAsia="黑体"/>
          <w:sz w:val="32"/>
          <w:szCs w:val="32"/>
          <w:lang w:val="en-US" w:eastAsia="zh-CN"/>
        </w:rPr>
        <w:t>考核要求</w:t>
      </w:r>
    </w:p>
    <w:p w14:paraId="779F80A2">
      <w:pPr>
        <w:widowControl/>
        <w:spacing w:line="560" w:lineRule="exact"/>
        <w:ind w:firstLine="643" w:firstLineChars="200"/>
        <w:rPr>
          <w:rFonts w:hint="eastAsia" w:ascii="楷体_GB2312" w:hAnsi="Calibri" w:eastAsia="楷体_GB2312" w:cs="Times New Roman"/>
          <w:b/>
          <w:bCs/>
          <w:color w:val="000000"/>
          <w:sz w:val="32"/>
          <w:szCs w:val="32"/>
          <w:lang w:val="en-US" w:eastAsia="zh-CN"/>
        </w:rPr>
      </w:pPr>
      <w:r>
        <w:rPr>
          <w:rFonts w:hint="eastAsia" w:ascii="楷体_GB2312" w:hAnsi="Calibri" w:eastAsia="楷体_GB2312" w:cs="Times New Roman"/>
          <w:b/>
          <w:bCs/>
          <w:color w:val="000000"/>
          <w:sz w:val="32"/>
          <w:szCs w:val="32"/>
          <w:lang w:val="en-US" w:eastAsia="zh-CN"/>
        </w:rPr>
        <w:t>（一）重点项目的任务</w:t>
      </w:r>
    </w:p>
    <w:p w14:paraId="1B27BC3D">
      <w:pPr>
        <w:spacing w:line="56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1.重点项目的任务可根据具体研究内容和工作实践需要适当调整，一般应包含若干定量任务和定性任务。其中定性任务如需形成一套具有创新性、示范性、可行性的制度、文件、方案、管理机制等，定量任务如建成1个落地使用的学科大模型或研究生专业课程数智化率达100%。</w:t>
      </w:r>
    </w:p>
    <w:p w14:paraId="17B57751">
      <w:pPr>
        <w:spacing w:line="56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2.重点项目的研究内容原则上应围绕立项申报指南开展研究和实践，应面向学术前沿或创新实践需要，自拟任务清单，在申报书中清晰列出定性和定量任务。</w:t>
      </w:r>
    </w:p>
    <w:p w14:paraId="258D51E9">
      <w:pPr>
        <w:widowControl/>
        <w:numPr>
          <w:ilvl w:val="0"/>
          <w:numId w:val="2"/>
        </w:numPr>
        <w:spacing w:line="560" w:lineRule="exact"/>
        <w:ind w:firstLine="643" w:firstLineChars="200"/>
        <w:rPr>
          <w:rFonts w:hint="default" w:ascii="楷体_GB2312" w:hAnsi="Calibri" w:eastAsia="楷体_GB2312" w:cs="Times New Roman"/>
          <w:b/>
          <w:bCs/>
          <w:color w:val="000000"/>
          <w:sz w:val="32"/>
          <w:szCs w:val="32"/>
          <w:lang w:val="en-US" w:eastAsia="zh-CN"/>
        </w:rPr>
      </w:pPr>
      <w:r>
        <w:rPr>
          <w:rFonts w:hint="eastAsia" w:ascii="楷体_GB2312" w:hAnsi="Calibri" w:eastAsia="楷体_GB2312" w:cs="Times New Roman"/>
          <w:b/>
          <w:bCs/>
          <w:color w:val="000000"/>
          <w:sz w:val="32"/>
          <w:szCs w:val="32"/>
          <w:lang w:val="en-US" w:eastAsia="zh-CN"/>
        </w:rPr>
        <w:t>一般项目的任务</w:t>
      </w:r>
    </w:p>
    <w:p w14:paraId="25C283CE">
      <w:pPr>
        <w:spacing w:line="56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所有研究生教育教学改革均需提交项目建设报告1份，其中：</w:t>
      </w:r>
    </w:p>
    <w:p w14:paraId="6360C2FB">
      <w:pPr>
        <w:spacing w:line="560" w:lineRule="exact"/>
        <w:ind w:firstLine="643" w:firstLineChars="200"/>
        <w:rPr>
          <w:rFonts w:hint="default" w:ascii="仿宋_GB2312" w:hAnsi="Calibri" w:eastAsia="仿宋_GB2312" w:cs="Times New Roman"/>
          <w:sz w:val="32"/>
          <w:szCs w:val="32"/>
          <w:lang w:val="en-US" w:eastAsia="zh-CN"/>
        </w:rPr>
      </w:pPr>
      <w:r>
        <w:rPr>
          <w:rFonts w:hint="eastAsia" w:ascii="楷体_GB2312" w:hAnsi="Calibri" w:eastAsia="楷体_GB2312" w:cs="Times New Roman"/>
          <w:b/>
          <w:bCs/>
          <w:color w:val="000000"/>
          <w:sz w:val="32"/>
          <w:szCs w:val="32"/>
          <w:lang w:val="en-US" w:eastAsia="zh-CN"/>
        </w:rPr>
        <w:t xml:space="preserve"> </w:t>
      </w:r>
      <w:r>
        <w:rPr>
          <w:rFonts w:hint="eastAsia" w:ascii="楷体_GB2312" w:hAnsi="Calibri" w:eastAsia="楷体_GB2312" w:cs="Times New Roman"/>
          <w:b w:val="0"/>
          <w:bCs w:val="0"/>
          <w:color w:val="000000"/>
          <w:sz w:val="32"/>
          <w:szCs w:val="32"/>
          <w:lang w:val="en-US" w:eastAsia="zh-CN"/>
        </w:rPr>
        <w:t>1.</w:t>
      </w:r>
      <w:r>
        <w:rPr>
          <w:rFonts w:hint="eastAsia" w:ascii="仿宋_GB2312" w:hAnsi="Calibri" w:eastAsia="仿宋_GB2312" w:cs="Times New Roman"/>
          <w:sz w:val="32"/>
          <w:szCs w:val="32"/>
          <w:lang w:val="en-US" w:eastAsia="zh-CN"/>
        </w:rPr>
        <w:t>优质研究生核心课程建设项目需提交：新建设的核心课需建设完成并正式开课；其他核心课需建设至少2学时的观摩课（在课程规定学时内，充分体现本课程的高水平、先进性），并向全校教师公开，提交同步录制视频。</w:t>
      </w:r>
    </w:p>
    <w:p w14:paraId="540E0A63">
      <w:pPr>
        <w:spacing w:line="56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2.专业学位研究生课程案例库建设项目需提交：每门课程案例库至少应包含3个原创性案例，格式及要求参考《中国专业学位案例中心案例收录规范（试行）》，案例应结合社会上的热点问题，或领域内的重点问题，或实践中的代表性问题。结项时须提供案例正文、教学指导手册及查重报告等材料；案例库建设原创性成果均需标注“北京林业大学研究生课程案例库建设项目经费资助”。如该专业学位教指委已开通专业学位教学案例中心案例库，原则上要求有一个案例入选该案例库；如专业学位教指委组织评选优秀（示范）案例库的，则至少提交1个案例参评。</w:t>
      </w:r>
    </w:p>
    <w:p w14:paraId="29CE0FF8">
      <w:pPr>
        <w:spacing w:line="560" w:lineRule="exact"/>
        <w:ind w:firstLine="640" w:firstLineChars="200"/>
        <w:rPr>
          <w:rFonts w:hint="default"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3.研究生课程思政建设项目需提交：</w:t>
      </w:r>
    </w:p>
    <w:p w14:paraId="61476699">
      <w:pPr>
        <w:spacing w:line="56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①教学大纲要详细，须体现“课程思政”的知识点与育人环节；</w:t>
      </w:r>
    </w:p>
    <w:p w14:paraId="0B37DCB1">
      <w:pPr>
        <w:spacing w:line="56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②多媒体课程要体现“课程思政”教学改革特点；</w:t>
      </w:r>
    </w:p>
    <w:p w14:paraId="791A355C">
      <w:pPr>
        <w:spacing w:line="56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③教学设计样例说明（提供一节代表性课程的完整教学设计和教学实施流程说明，尽可能细致地反映出教师的思考和教学设计，在文档中应提供不少于5张教学活动的图片；要求教学设计样例应具有较强的可读性，表述清晰流畅；项目负责人签字）</w:t>
      </w:r>
    </w:p>
    <w:p w14:paraId="4A6D5B9C">
      <w:pPr>
        <w:snapToGrid w:val="0"/>
        <w:spacing w:before="156" w:beforeLines="50" w:line="300" w:lineRule="auto"/>
        <w:ind w:firstLine="700" w:firstLineChars="250"/>
        <w:rPr>
          <w:sz w:val="28"/>
          <w:szCs w:val="28"/>
        </w:rPr>
      </w:pPr>
    </w:p>
    <w:sectPr>
      <w:footerReference r:id="rId4" w:type="default"/>
      <w:headerReference r:id="rId3" w:type="even"/>
      <w:footerReference r:id="rId5" w:type="even"/>
      <w:pgSz w:w="11906" w:h="16838"/>
      <w:pgMar w:top="1418" w:right="1418" w:bottom="1418" w:left="1418"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小标宋">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18BDA">
    <w:pPr>
      <w:pStyle w:val="5"/>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p>
  <w:p w14:paraId="5A4F2A06">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CFC6D">
    <w:pPr>
      <w:pStyle w:val="5"/>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p>
  <w:p w14:paraId="7B2CDAFA">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2FFAE">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5F3ADE"/>
    <w:multiLevelType w:val="singleLevel"/>
    <w:tmpl w:val="5F5F3ADE"/>
    <w:lvl w:ilvl="0" w:tentative="0">
      <w:start w:val="1"/>
      <w:numFmt w:val="chineseCounting"/>
      <w:suff w:val="nothing"/>
      <w:lvlText w:val="%1、"/>
      <w:lvlJc w:val="left"/>
      <w:rPr>
        <w:rFonts w:hint="eastAsia"/>
      </w:rPr>
    </w:lvl>
  </w:abstractNum>
  <w:abstractNum w:abstractNumId="1">
    <w:nsid w:val="65F10D5C"/>
    <w:multiLevelType w:val="singleLevel"/>
    <w:tmpl w:val="65F10D5C"/>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5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205"/>
    <w:rsid w:val="000002A7"/>
    <w:rsid w:val="00001A48"/>
    <w:rsid w:val="00003F88"/>
    <w:rsid w:val="00006885"/>
    <w:rsid w:val="000077A6"/>
    <w:rsid w:val="000132B8"/>
    <w:rsid w:val="000174B9"/>
    <w:rsid w:val="00017745"/>
    <w:rsid w:val="00020906"/>
    <w:rsid w:val="00025261"/>
    <w:rsid w:val="000318A2"/>
    <w:rsid w:val="00033935"/>
    <w:rsid w:val="00047556"/>
    <w:rsid w:val="00050E84"/>
    <w:rsid w:val="00051A8E"/>
    <w:rsid w:val="00054AD2"/>
    <w:rsid w:val="00056E56"/>
    <w:rsid w:val="00065BC8"/>
    <w:rsid w:val="00065EC0"/>
    <w:rsid w:val="00076893"/>
    <w:rsid w:val="000774CB"/>
    <w:rsid w:val="00080952"/>
    <w:rsid w:val="000809F0"/>
    <w:rsid w:val="00085101"/>
    <w:rsid w:val="000864F6"/>
    <w:rsid w:val="000865A7"/>
    <w:rsid w:val="00091E9E"/>
    <w:rsid w:val="00093037"/>
    <w:rsid w:val="00094898"/>
    <w:rsid w:val="0009525B"/>
    <w:rsid w:val="000A01B1"/>
    <w:rsid w:val="000A2B12"/>
    <w:rsid w:val="000A30B0"/>
    <w:rsid w:val="000B02F9"/>
    <w:rsid w:val="000B3DAB"/>
    <w:rsid w:val="000C1C2A"/>
    <w:rsid w:val="000C3A6F"/>
    <w:rsid w:val="000C601A"/>
    <w:rsid w:val="000D0C0D"/>
    <w:rsid w:val="000D2949"/>
    <w:rsid w:val="000D3973"/>
    <w:rsid w:val="000E2313"/>
    <w:rsid w:val="000E7C28"/>
    <w:rsid w:val="000F2952"/>
    <w:rsid w:val="000F468F"/>
    <w:rsid w:val="000F7894"/>
    <w:rsid w:val="0010374D"/>
    <w:rsid w:val="001037D7"/>
    <w:rsid w:val="00107426"/>
    <w:rsid w:val="00107AD8"/>
    <w:rsid w:val="00111E7E"/>
    <w:rsid w:val="00112986"/>
    <w:rsid w:val="00114168"/>
    <w:rsid w:val="001160F1"/>
    <w:rsid w:val="00117F5D"/>
    <w:rsid w:val="0012171E"/>
    <w:rsid w:val="001252C9"/>
    <w:rsid w:val="00132736"/>
    <w:rsid w:val="00136C4E"/>
    <w:rsid w:val="00151996"/>
    <w:rsid w:val="001557B1"/>
    <w:rsid w:val="001607D3"/>
    <w:rsid w:val="00161A57"/>
    <w:rsid w:val="00163568"/>
    <w:rsid w:val="00164247"/>
    <w:rsid w:val="0016448C"/>
    <w:rsid w:val="00164960"/>
    <w:rsid w:val="00170C9B"/>
    <w:rsid w:val="0017140F"/>
    <w:rsid w:val="001747B4"/>
    <w:rsid w:val="00181DFE"/>
    <w:rsid w:val="0018456F"/>
    <w:rsid w:val="00184AB1"/>
    <w:rsid w:val="00191959"/>
    <w:rsid w:val="00192A3B"/>
    <w:rsid w:val="001A1A0C"/>
    <w:rsid w:val="001A2144"/>
    <w:rsid w:val="001A292B"/>
    <w:rsid w:val="001A4944"/>
    <w:rsid w:val="001A4E02"/>
    <w:rsid w:val="001A5FED"/>
    <w:rsid w:val="001B3B66"/>
    <w:rsid w:val="001B5EF5"/>
    <w:rsid w:val="001C5941"/>
    <w:rsid w:val="001D391D"/>
    <w:rsid w:val="001D6790"/>
    <w:rsid w:val="001D69E6"/>
    <w:rsid w:val="001E04DA"/>
    <w:rsid w:val="001E216F"/>
    <w:rsid w:val="001E3AFA"/>
    <w:rsid w:val="001F050F"/>
    <w:rsid w:val="001F2C48"/>
    <w:rsid w:val="001F5EAB"/>
    <w:rsid w:val="001F64BB"/>
    <w:rsid w:val="002009F7"/>
    <w:rsid w:val="0020622E"/>
    <w:rsid w:val="002107BE"/>
    <w:rsid w:val="00212EEC"/>
    <w:rsid w:val="0021609D"/>
    <w:rsid w:val="002178AC"/>
    <w:rsid w:val="00223171"/>
    <w:rsid w:val="0022445D"/>
    <w:rsid w:val="0022720D"/>
    <w:rsid w:val="00227A32"/>
    <w:rsid w:val="00227B97"/>
    <w:rsid w:val="0023353F"/>
    <w:rsid w:val="00233AE7"/>
    <w:rsid w:val="00236718"/>
    <w:rsid w:val="0024202A"/>
    <w:rsid w:val="002445D2"/>
    <w:rsid w:val="002454A8"/>
    <w:rsid w:val="00246048"/>
    <w:rsid w:val="002464B8"/>
    <w:rsid w:val="00246570"/>
    <w:rsid w:val="002539EE"/>
    <w:rsid w:val="00254986"/>
    <w:rsid w:val="002578A0"/>
    <w:rsid w:val="00266189"/>
    <w:rsid w:val="00283C23"/>
    <w:rsid w:val="00285301"/>
    <w:rsid w:val="002855D0"/>
    <w:rsid w:val="00286A3D"/>
    <w:rsid w:val="0029220F"/>
    <w:rsid w:val="002924DB"/>
    <w:rsid w:val="00293023"/>
    <w:rsid w:val="0029723F"/>
    <w:rsid w:val="002A14C3"/>
    <w:rsid w:val="002A4A82"/>
    <w:rsid w:val="002A4C34"/>
    <w:rsid w:val="002A72E4"/>
    <w:rsid w:val="002B2902"/>
    <w:rsid w:val="002B5CC9"/>
    <w:rsid w:val="002D2F06"/>
    <w:rsid w:val="002E6A09"/>
    <w:rsid w:val="002E6D61"/>
    <w:rsid w:val="002F41F0"/>
    <w:rsid w:val="002F555D"/>
    <w:rsid w:val="003018A4"/>
    <w:rsid w:val="0032088F"/>
    <w:rsid w:val="003226C3"/>
    <w:rsid w:val="00324531"/>
    <w:rsid w:val="00326D6F"/>
    <w:rsid w:val="00333873"/>
    <w:rsid w:val="00333886"/>
    <w:rsid w:val="00340295"/>
    <w:rsid w:val="0034102D"/>
    <w:rsid w:val="003415C8"/>
    <w:rsid w:val="00344CEF"/>
    <w:rsid w:val="003469D6"/>
    <w:rsid w:val="00346CEE"/>
    <w:rsid w:val="0034787B"/>
    <w:rsid w:val="00350775"/>
    <w:rsid w:val="00356152"/>
    <w:rsid w:val="003608A0"/>
    <w:rsid w:val="00365F78"/>
    <w:rsid w:val="00367EA2"/>
    <w:rsid w:val="00373570"/>
    <w:rsid w:val="00377008"/>
    <w:rsid w:val="003813B1"/>
    <w:rsid w:val="00384457"/>
    <w:rsid w:val="00385815"/>
    <w:rsid w:val="00387441"/>
    <w:rsid w:val="00390830"/>
    <w:rsid w:val="0039083E"/>
    <w:rsid w:val="00394BC4"/>
    <w:rsid w:val="00395205"/>
    <w:rsid w:val="003957EC"/>
    <w:rsid w:val="00397ABB"/>
    <w:rsid w:val="003B436A"/>
    <w:rsid w:val="003B7ABC"/>
    <w:rsid w:val="003C455C"/>
    <w:rsid w:val="003C7E24"/>
    <w:rsid w:val="003D14F0"/>
    <w:rsid w:val="003D49D5"/>
    <w:rsid w:val="003D53B9"/>
    <w:rsid w:val="003D791B"/>
    <w:rsid w:val="003E0A3E"/>
    <w:rsid w:val="003E6C73"/>
    <w:rsid w:val="003F1D71"/>
    <w:rsid w:val="003F2A9C"/>
    <w:rsid w:val="003F6EF3"/>
    <w:rsid w:val="00403C5D"/>
    <w:rsid w:val="0041024B"/>
    <w:rsid w:val="00414EF4"/>
    <w:rsid w:val="00415BF6"/>
    <w:rsid w:val="00420202"/>
    <w:rsid w:val="004202AB"/>
    <w:rsid w:val="00422F29"/>
    <w:rsid w:val="00424DDA"/>
    <w:rsid w:val="004251CB"/>
    <w:rsid w:val="0044011D"/>
    <w:rsid w:val="0044179F"/>
    <w:rsid w:val="00447D51"/>
    <w:rsid w:val="0045023C"/>
    <w:rsid w:val="00450A3F"/>
    <w:rsid w:val="00451452"/>
    <w:rsid w:val="00451DFC"/>
    <w:rsid w:val="00451F0C"/>
    <w:rsid w:val="0045380C"/>
    <w:rsid w:val="00453A06"/>
    <w:rsid w:val="00457010"/>
    <w:rsid w:val="004573EC"/>
    <w:rsid w:val="004602FD"/>
    <w:rsid w:val="00465557"/>
    <w:rsid w:val="00474C77"/>
    <w:rsid w:val="0047732E"/>
    <w:rsid w:val="004776B9"/>
    <w:rsid w:val="00480E53"/>
    <w:rsid w:val="00486811"/>
    <w:rsid w:val="00491C30"/>
    <w:rsid w:val="004A13C1"/>
    <w:rsid w:val="004A3A5D"/>
    <w:rsid w:val="004A5EDD"/>
    <w:rsid w:val="004B2B86"/>
    <w:rsid w:val="004B3181"/>
    <w:rsid w:val="004B7688"/>
    <w:rsid w:val="004C3B77"/>
    <w:rsid w:val="004D0D9C"/>
    <w:rsid w:val="004D6205"/>
    <w:rsid w:val="004D7BC7"/>
    <w:rsid w:val="004E053E"/>
    <w:rsid w:val="004E2432"/>
    <w:rsid w:val="004E595D"/>
    <w:rsid w:val="004E6E0B"/>
    <w:rsid w:val="004F7C11"/>
    <w:rsid w:val="005018DF"/>
    <w:rsid w:val="0050243A"/>
    <w:rsid w:val="00506057"/>
    <w:rsid w:val="00514BD8"/>
    <w:rsid w:val="005153FD"/>
    <w:rsid w:val="00515753"/>
    <w:rsid w:val="0051652C"/>
    <w:rsid w:val="005221A6"/>
    <w:rsid w:val="0052704D"/>
    <w:rsid w:val="00532B6C"/>
    <w:rsid w:val="00537186"/>
    <w:rsid w:val="00541806"/>
    <w:rsid w:val="0054419E"/>
    <w:rsid w:val="005446E9"/>
    <w:rsid w:val="0054529F"/>
    <w:rsid w:val="0055180D"/>
    <w:rsid w:val="00564125"/>
    <w:rsid w:val="005676EC"/>
    <w:rsid w:val="005704F6"/>
    <w:rsid w:val="00585BC0"/>
    <w:rsid w:val="00590BF9"/>
    <w:rsid w:val="00592687"/>
    <w:rsid w:val="0059537A"/>
    <w:rsid w:val="005A1C58"/>
    <w:rsid w:val="005A748D"/>
    <w:rsid w:val="005B6758"/>
    <w:rsid w:val="005C1669"/>
    <w:rsid w:val="005C524A"/>
    <w:rsid w:val="005C5CED"/>
    <w:rsid w:val="005D1E8A"/>
    <w:rsid w:val="005D209E"/>
    <w:rsid w:val="005D2F0D"/>
    <w:rsid w:val="005D31DC"/>
    <w:rsid w:val="005D3B7D"/>
    <w:rsid w:val="005D6266"/>
    <w:rsid w:val="005E1392"/>
    <w:rsid w:val="005E1F5C"/>
    <w:rsid w:val="005E5B6B"/>
    <w:rsid w:val="005F10BE"/>
    <w:rsid w:val="005F1B6C"/>
    <w:rsid w:val="005F4E95"/>
    <w:rsid w:val="005F75D5"/>
    <w:rsid w:val="00601309"/>
    <w:rsid w:val="00602931"/>
    <w:rsid w:val="00604B47"/>
    <w:rsid w:val="00605834"/>
    <w:rsid w:val="0060750A"/>
    <w:rsid w:val="00611FF6"/>
    <w:rsid w:val="006144AC"/>
    <w:rsid w:val="00616835"/>
    <w:rsid w:val="00617797"/>
    <w:rsid w:val="00630F66"/>
    <w:rsid w:val="0063135C"/>
    <w:rsid w:val="00632C7F"/>
    <w:rsid w:val="0063344A"/>
    <w:rsid w:val="006344B5"/>
    <w:rsid w:val="006377C3"/>
    <w:rsid w:val="0064038F"/>
    <w:rsid w:val="00642777"/>
    <w:rsid w:val="006448A0"/>
    <w:rsid w:val="00645280"/>
    <w:rsid w:val="006464FE"/>
    <w:rsid w:val="00647430"/>
    <w:rsid w:val="00653D49"/>
    <w:rsid w:val="00664B25"/>
    <w:rsid w:val="006660EF"/>
    <w:rsid w:val="00666A18"/>
    <w:rsid w:val="00676579"/>
    <w:rsid w:val="00681000"/>
    <w:rsid w:val="006827DF"/>
    <w:rsid w:val="00682F43"/>
    <w:rsid w:val="00685EE5"/>
    <w:rsid w:val="006867C1"/>
    <w:rsid w:val="00686E54"/>
    <w:rsid w:val="00687AAD"/>
    <w:rsid w:val="00690E02"/>
    <w:rsid w:val="0069106A"/>
    <w:rsid w:val="00694A85"/>
    <w:rsid w:val="006A46F2"/>
    <w:rsid w:val="006A6DC4"/>
    <w:rsid w:val="006A761C"/>
    <w:rsid w:val="006A7733"/>
    <w:rsid w:val="006B01CB"/>
    <w:rsid w:val="006B1F58"/>
    <w:rsid w:val="006C3683"/>
    <w:rsid w:val="006C4FD8"/>
    <w:rsid w:val="006D2519"/>
    <w:rsid w:val="006D2B79"/>
    <w:rsid w:val="006D3524"/>
    <w:rsid w:val="006D5897"/>
    <w:rsid w:val="006E6070"/>
    <w:rsid w:val="006E60B6"/>
    <w:rsid w:val="006F4CBF"/>
    <w:rsid w:val="006F6D7F"/>
    <w:rsid w:val="0070310A"/>
    <w:rsid w:val="007126C5"/>
    <w:rsid w:val="00713A76"/>
    <w:rsid w:val="00717703"/>
    <w:rsid w:val="007202AE"/>
    <w:rsid w:val="00720FD1"/>
    <w:rsid w:val="00724473"/>
    <w:rsid w:val="00726E5F"/>
    <w:rsid w:val="00733D88"/>
    <w:rsid w:val="00734B08"/>
    <w:rsid w:val="0073632D"/>
    <w:rsid w:val="00741BEE"/>
    <w:rsid w:val="00743788"/>
    <w:rsid w:val="007454AF"/>
    <w:rsid w:val="00747A3E"/>
    <w:rsid w:val="00753CE2"/>
    <w:rsid w:val="007558BA"/>
    <w:rsid w:val="007559AF"/>
    <w:rsid w:val="007560C1"/>
    <w:rsid w:val="00756171"/>
    <w:rsid w:val="00756D39"/>
    <w:rsid w:val="007604A4"/>
    <w:rsid w:val="0076285D"/>
    <w:rsid w:val="0076470B"/>
    <w:rsid w:val="00770BA9"/>
    <w:rsid w:val="007714FD"/>
    <w:rsid w:val="00775DB1"/>
    <w:rsid w:val="007769D1"/>
    <w:rsid w:val="007771E5"/>
    <w:rsid w:val="00786F40"/>
    <w:rsid w:val="00790A41"/>
    <w:rsid w:val="0079241D"/>
    <w:rsid w:val="00792846"/>
    <w:rsid w:val="007963B1"/>
    <w:rsid w:val="00796E15"/>
    <w:rsid w:val="007A21F7"/>
    <w:rsid w:val="007A255C"/>
    <w:rsid w:val="007A3FE0"/>
    <w:rsid w:val="007B4FBB"/>
    <w:rsid w:val="007C13DE"/>
    <w:rsid w:val="007C44DE"/>
    <w:rsid w:val="007C4C03"/>
    <w:rsid w:val="007C5165"/>
    <w:rsid w:val="007D329B"/>
    <w:rsid w:val="007D602C"/>
    <w:rsid w:val="007D7AF1"/>
    <w:rsid w:val="007E0018"/>
    <w:rsid w:val="007E2F21"/>
    <w:rsid w:val="007E5129"/>
    <w:rsid w:val="007F49D8"/>
    <w:rsid w:val="007F6C34"/>
    <w:rsid w:val="008108F1"/>
    <w:rsid w:val="00810C61"/>
    <w:rsid w:val="008114B0"/>
    <w:rsid w:val="00812418"/>
    <w:rsid w:val="008145A9"/>
    <w:rsid w:val="008170B8"/>
    <w:rsid w:val="008248E8"/>
    <w:rsid w:val="0082615C"/>
    <w:rsid w:val="00834C4C"/>
    <w:rsid w:val="00835BCF"/>
    <w:rsid w:val="00835FC1"/>
    <w:rsid w:val="00840253"/>
    <w:rsid w:val="00842934"/>
    <w:rsid w:val="00847506"/>
    <w:rsid w:val="00851AC8"/>
    <w:rsid w:val="00851D70"/>
    <w:rsid w:val="0085793E"/>
    <w:rsid w:val="008710E7"/>
    <w:rsid w:val="0087231E"/>
    <w:rsid w:val="008777B6"/>
    <w:rsid w:val="008A047B"/>
    <w:rsid w:val="008B1ABC"/>
    <w:rsid w:val="008B3B95"/>
    <w:rsid w:val="008B4790"/>
    <w:rsid w:val="008B6FBC"/>
    <w:rsid w:val="008B7521"/>
    <w:rsid w:val="008C0CAE"/>
    <w:rsid w:val="008C2241"/>
    <w:rsid w:val="008C22AE"/>
    <w:rsid w:val="008C4033"/>
    <w:rsid w:val="008D661E"/>
    <w:rsid w:val="008E01D7"/>
    <w:rsid w:val="008E5789"/>
    <w:rsid w:val="008E5C16"/>
    <w:rsid w:val="008F5ACC"/>
    <w:rsid w:val="008F7113"/>
    <w:rsid w:val="00906D27"/>
    <w:rsid w:val="00910B06"/>
    <w:rsid w:val="00915005"/>
    <w:rsid w:val="00916D52"/>
    <w:rsid w:val="00920AB7"/>
    <w:rsid w:val="00921163"/>
    <w:rsid w:val="009236B6"/>
    <w:rsid w:val="00927151"/>
    <w:rsid w:val="009302E4"/>
    <w:rsid w:val="009337F0"/>
    <w:rsid w:val="00935A1E"/>
    <w:rsid w:val="009360D9"/>
    <w:rsid w:val="00947AB2"/>
    <w:rsid w:val="00952E0B"/>
    <w:rsid w:val="00955A71"/>
    <w:rsid w:val="00955D50"/>
    <w:rsid w:val="00962A38"/>
    <w:rsid w:val="00963BF3"/>
    <w:rsid w:val="00975B18"/>
    <w:rsid w:val="0097670A"/>
    <w:rsid w:val="00982169"/>
    <w:rsid w:val="0098221C"/>
    <w:rsid w:val="00983290"/>
    <w:rsid w:val="00984BE8"/>
    <w:rsid w:val="00984D60"/>
    <w:rsid w:val="00987B08"/>
    <w:rsid w:val="0099157A"/>
    <w:rsid w:val="0099702B"/>
    <w:rsid w:val="009A13AC"/>
    <w:rsid w:val="009B118F"/>
    <w:rsid w:val="009B145C"/>
    <w:rsid w:val="009B7B1D"/>
    <w:rsid w:val="009C4A82"/>
    <w:rsid w:val="009C5620"/>
    <w:rsid w:val="009C641F"/>
    <w:rsid w:val="009D03C3"/>
    <w:rsid w:val="009D6AC5"/>
    <w:rsid w:val="009D6B96"/>
    <w:rsid w:val="009D7D72"/>
    <w:rsid w:val="009E005E"/>
    <w:rsid w:val="009E56ED"/>
    <w:rsid w:val="009F31F2"/>
    <w:rsid w:val="009F3334"/>
    <w:rsid w:val="009F4250"/>
    <w:rsid w:val="00A0084F"/>
    <w:rsid w:val="00A01B0A"/>
    <w:rsid w:val="00A03B68"/>
    <w:rsid w:val="00A04055"/>
    <w:rsid w:val="00A04848"/>
    <w:rsid w:val="00A0692F"/>
    <w:rsid w:val="00A14514"/>
    <w:rsid w:val="00A14B4F"/>
    <w:rsid w:val="00A172D0"/>
    <w:rsid w:val="00A20C2F"/>
    <w:rsid w:val="00A2150C"/>
    <w:rsid w:val="00A2389C"/>
    <w:rsid w:val="00A24440"/>
    <w:rsid w:val="00A24615"/>
    <w:rsid w:val="00A41D71"/>
    <w:rsid w:val="00A4468E"/>
    <w:rsid w:val="00A44B55"/>
    <w:rsid w:val="00A44BEB"/>
    <w:rsid w:val="00A46ED1"/>
    <w:rsid w:val="00A55852"/>
    <w:rsid w:val="00A64DB1"/>
    <w:rsid w:val="00A76147"/>
    <w:rsid w:val="00A806B5"/>
    <w:rsid w:val="00A80BA4"/>
    <w:rsid w:val="00A83406"/>
    <w:rsid w:val="00A92D84"/>
    <w:rsid w:val="00A943E0"/>
    <w:rsid w:val="00A9583D"/>
    <w:rsid w:val="00AA0235"/>
    <w:rsid w:val="00AA6DC9"/>
    <w:rsid w:val="00AB215B"/>
    <w:rsid w:val="00AB226A"/>
    <w:rsid w:val="00AB34FC"/>
    <w:rsid w:val="00AB3C35"/>
    <w:rsid w:val="00AB5DCA"/>
    <w:rsid w:val="00AC409D"/>
    <w:rsid w:val="00AC678A"/>
    <w:rsid w:val="00AC6946"/>
    <w:rsid w:val="00AC6EC6"/>
    <w:rsid w:val="00AD2FAE"/>
    <w:rsid w:val="00AD7768"/>
    <w:rsid w:val="00AD7D5F"/>
    <w:rsid w:val="00AE22DC"/>
    <w:rsid w:val="00AE31DD"/>
    <w:rsid w:val="00AE4DA5"/>
    <w:rsid w:val="00AE5312"/>
    <w:rsid w:val="00AE6BBF"/>
    <w:rsid w:val="00AE7201"/>
    <w:rsid w:val="00AF2CBE"/>
    <w:rsid w:val="00B01761"/>
    <w:rsid w:val="00B01BFC"/>
    <w:rsid w:val="00B03423"/>
    <w:rsid w:val="00B042ED"/>
    <w:rsid w:val="00B0506A"/>
    <w:rsid w:val="00B10D38"/>
    <w:rsid w:val="00B111D3"/>
    <w:rsid w:val="00B12E62"/>
    <w:rsid w:val="00B15DDC"/>
    <w:rsid w:val="00B20607"/>
    <w:rsid w:val="00B301DC"/>
    <w:rsid w:val="00B3224A"/>
    <w:rsid w:val="00B33210"/>
    <w:rsid w:val="00B3493D"/>
    <w:rsid w:val="00B41201"/>
    <w:rsid w:val="00B44E1D"/>
    <w:rsid w:val="00B454D0"/>
    <w:rsid w:val="00B524D1"/>
    <w:rsid w:val="00B55896"/>
    <w:rsid w:val="00B56BDF"/>
    <w:rsid w:val="00B56F52"/>
    <w:rsid w:val="00B57913"/>
    <w:rsid w:val="00B61115"/>
    <w:rsid w:val="00B642AD"/>
    <w:rsid w:val="00B64F81"/>
    <w:rsid w:val="00B65174"/>
    <w:rsid w:val="00B7057F"/>
    <w:rsid w:val="00B7095C"/>
    <w:rsid w:val="00B710EF"/>
    <w:rsid w:val="00B778B2"/>
    <w:rsid w:val="00B77BC9"/>
    <w:rsid w:val="00B83867"/>
    <w:rsid w:val="00B91A1C"/>
    <w:rsid w:val="00B91B9E"/>
    <w:rsid w:val="00B91E00"/>
    <w:rsid w:val="00B92A46"/>
    <w:rsid w:val="00B936C0"/>
    <w:rsid w:val="00B947D9"/>
    <w:rsid w:val="00B96036"/>
    <w:rsid w:val="00BA7007"/>
    <w:rsid w:val="00BA7AE3"/>
    <w:rsid w:val="00BB00E6"/>
    <w:rsid w:val="00BB04D4"/>
    <w:rsid w:val="00BB0D9C"/>
    <w:rsid w:val="00BB10E5"/>
    <w:rsid w:val="00BB19D7"/>
    <w:rsid w:val="00BB34B5"/>
    <w:rsid w:val="00BB53F1"/>
    <w:rsid w:val="00BC4EFC"/>
    <w:rsid w:val="00BE0D36"/>
    <w:rsid w:val="00BF0462"/>
    <w:rsid w:val="00BF74C5"/>
    <w:rsid w:val="00C0238F"/>
    <w:rsid w:val="00C048B3"/>
    <w:rsid w:val="00C05E25"/>
    <w:rsid w:val="00C067FB"/>
    <w:rsid w:val="00C0799E"/>
    <w:rsid w:val="00C15E7A"/>
    <w:rsid w:val="00C25871"/>
    <w:rsid w:val="00C27C8D"/>
    <w:rsid w:val="00C3325B"/>
    <w:rsid w:val="00C338A4"/>
    <w:rsid w:val="00C344AC"/>
    <w:rsid w:val="00C3486B"/>
    <w:rsid w:val="00C433C1"/>
    <w:rsid w:val="00C4375A"/>
    <w:rsid w:val="00C470A3"/>
    <w:rsid w:val="00C51152"/>
    <w:rsid w:val="00C5493A"/>
    <w:rsid w:val="00C554B5"/>
    <w:rsid w:val="00C62799"/>
    <w:rsid w:val="00C62B4F"/>
    <w:rsid w:val="00C70F44"/>
    <w:rsid w:val="00C815FC"/>
    <w:rsid w:val="00C826F0"/>
    <w:rsid w:val="00C82C5A"/>
    <w:rsid w:val="00C83EEA"/>
    <w:rsid w:val="00C8578F"/>
    <w:rsid w:val="00C85E3D"/>
    <w:rsid w:val="00C85FD6"/>
    <w:rsid w:val="00C91673"/>
    <w:rsid w:val="00C93022"/>
    <w:rsid w:val="00C958FC"/>
    <w:rsid w:val="00CA152F"/>
    <w:rsid w:val="00CA1F29"/>
    <w:rsid w:val="00CA3C20"/>
    <w:rsid w:val="00CB0309"/>
    <w:rsid w:val="00CB2E2A"/>
    <w:rsid w:val="00CB4565"/>
    <w:rsid w:val="00CB5284"/>
    <w:rsid w:val="00CB74BF"/>
    <w:rsid w:val="00CB7AEC"/>
    <w:rsid w:val="00CD3229"/>
    <w:rsid w:val="00CD402B"/>
    <w:rsid w:val="00CE08D3"/>
    <w:rsid w:val="00CE0A33"/>
    <w:rsid w:val="00CE67DB"/>
    <w:rsid w:val="00CF401A"/>
    <w:rsid w:val="00CF4757"/>
    <w:rsid w:val="00D01D84"/>
    <w:rsid w:val="00D04A24"/>
    <w:rsid w:val="00D068F2"/>
    <w:rsid w:val="00D075FB"/>
    <w:rsid w:val="00D22342"/>
    <w:rsid w:val="00D253F4"/>
    <w:rsid w:val="00D25AAF"/>
    <w:rsid w:val="00D25AC8"/>
    <w:rsid w:val="00D40AAD"/>
    <w:rsid w:val="00D40B5F"/>
    <w:rsid w:val="00D51DEB"/>
    <w:rsid w:val="00D5465F"/>
    <w:rsid w:val="00D56F07"/>
    <w:rsid w:val="00D63712"/>
    <w:rsid w:val="00D6372A"/>
    <w:rsid w:val="00D668EE"/>
    <w:rsid w:val="00D74C1E"/>
    <w:rsid w:val="00D90C70"/>
    <w:rsid w:val="00D95F8F"/>
    <w:rsid w:val="00D97944"/>
    <w:rsid w:val="00DA3899"/>
    <w:rsid w:val="00DB2622"/>
    <w:rsid w:val="00DC0EF8"/>
    <w:rsid w:val="00DC194A"/>
    <w:rsid w:val="00DC7AA9"/>
    <w:rsid w:val="00DD14F1"/>
    <w:rsid w:val="00DD3EB9"/>
    <w:rsid w:val="00DE2956"/>
    <w:rsid w:val="00DE3041"/>
    <w:rsid w:val="00DE6CDC"/>
    <w:rsid w:val="00DF0561"/>
    <w:rsid w:val="00DF0A7B"/>
    <w:rsid w:val="00E01ED4"/>
    <w:rsid w:val="00E02B5A"/>
    <w:rsid w:val="00E10DB0"/>
    <w:rsid w:val="00E13315"/>
    <w:rsid w:val="00E15688"/>
    <w:rsid w:val="00E16CA1"/>
    <w:rsid w:val="00E2573A"/>
    <w:rsid w:val="00E30C56"/>
    <w:rsid w:val="00E33DF8"/>
    <w:rsid w:val="00E3656E"/>
    <w:rsid w:val="00E402F1"/>
    <w:rsid w:val="00E409B6"/>
    <w:rsid w:val="00E51F05"/>
    <w:rsid w:val="00E560FE"/>
    <w:rsid w:val="00E62F4A"/>
    <w:rsid w:val="00E67540"/>
    <w:rsid w:val="00E7479D"/>
    <w:rsid w:val="00E82E24"/>
    <w:rsid w:val="00E90821"/>
    <w:rsid w:val="00E9126E"/>
    <w:rsid w:val="00E93BE0"/>
    <w:rsid w:val="00E95B90"/>
    <w:rsid w:val="00EA1FA9"/>
    <w:rsid w:val="00EA58A5"/>
    <w:rsid w:val="00EA7F2E"/>
    <w:rsid w:val="00EB327E"/>
    <w:rsid w:val="00EB49F9"/>
    <w:rsid w:val="00EB54EF"/>
    <w:rsid w:val="00EB5D05"/>
    <w:rsid w:val="00EB6B31"/>
    <w:rsid w:val="00EB73B6"/>
    <w:rsid w:val="00EC00CE"/>
    <w:rsid w:val="00EC3EDB"/>
    <w:rsid w:val="00EC5108"/>
    <w:rsid w:val="00ED0BBB"/>
    <w:rsid w:val="00ED1538"/>
    <w:rsid w:val="00ED2311"/>
    <w:rsid w:val="00ED26B1"/>
    <w:rsid w:val="00EE2B15"/>
    <w:rsid w:val="00EF2DC9"/>
    <w:rsid w:val="00EF45F2"/>
    <w:rsid w:val="00F02BCC"/>
    <w:rsid w:val="00F03AD2"/>
    <w:rsid w:val="00F14223"/>
    <w:rsid w:val="00F23E29"/>
    <w:rsid w:val="00F32616"/>
    <w:rsid w:val="00F32E3A"/>
    <w:rsid w:val="00F34F60"/>
    <w:rsid w:val="00F36F7E"/>
    <w:rsid w:val="00F40B91"/>
    <w:rsid w:val="00F413E8"/>
    <w:rsid w:val="00F42BD3"/>
    <w:rsid w:val="00F47D1A"/>
    <w:rsid w:val="00F5046D"/>
    <w:rsid w:val="00F5717F"/>
    <w:rsid w:val="00F6141A"/>
    <w:rsid w:val="00F62D81"/>
    <w:rsid w:val="00F66B80"/>
    <w:rsid w:val="00F753A3"/>
    <w:rsid w:val="00FA04FB"/>
    <w:rsid w:val="00FA15FB"/>
    <w:rsid w:val="00FA2503"/>
    <w:rsid w:val="00FA2A67"/>
    <w:rsid w:val="00FA4366"/>
    <w:rsid w:val="00FB051E"/>
    <w:rsid w:val="00FB60FB"/>
    <w:rsid w:val="00FC45EE"/>
    <w:rsid w:val="00FC5880"/>
    <w:rsid w:val="00FC5A10"/>
    <w:rsid w:val="00FD45CB"/>
    <w:rsid w:val="00FD51DF"/>
    <w:rsid w:val="00FE0C56"/>
    <w:rsid w:val="00FE152D"/>
    <w:rsid w:val="00FE1C3E"/>
    <w:rsid w:val="00FE1E15"/>
    <w:rsid w:val="00FE4197"/>
    <w:rsid w:val="00FE6825"/>
    <w:rsid w:val="00FF21E0"/>
    <w:rsid w:val="00FF6770"/>
    <w:rsid w:val="00FF730A"/>
    <w:rsid w:val="03E82745"/>
    <w:rsid w:val="0687062B"/>
    <w:rsid w:val="071E2D3E"/>
    <w:rsid w:val="0A3E36F7"/>
    <w:rsid w:val="0AEA6071"/>
    <w:rsid w:val="0B090DAA"/>
    <w:rsid w:val="0C936671"/>
    <w:rsid w:val="108A1444"/>
    <w:rsid w:val="117619C8"/>
    <w:rsid w:val="12064AFA"/>
    <w:rsid w:val="188624F1"/>
    <w:rsid w:val="19B906A4"/>
    <w:rsid w:val="19CF7EC7"/>
    <w:rsid w:val="1B040045"/>
    <w:rsid w:val="1BA921A5"/>
    <w:rsid w:val="1BB235FD"/>
    <w:rsid w:val="1C163B8C"/>
    <w:rsid w:val="1D8E3BF5"/>
    <w:rsid w:val="1DCF493A"/>
    <w:rsid w:val="1F132604"/>
    <w:rsid w:val="20B41BC5"/>
    <w:rsid w:val="21F901D7"/>
    <w:rsid w:val="23FF75FB"/>
    <w:rsid w:val="269C135E"/>
    <w:rsid w:val="26D85659"/>
    <w:rsid w:val="27A01A36"/>
    <w:rsid w:val="2826784C"/>
    <w:rsid w:val="28995ED7"/>
    <w:rsid w:val="298F4F7D"/>
    <w:rsid w:val="29BD1AEA"/>
    <w:rsid w:val="2B30453E"/>
    <w:rsid w:val="2BF81500"/>
    <w:rsid w:val="2EBF49BF"/>
    <w:rsid w:val="347F6B45"/>
    <w:rsid w:val="35337105"/>
    <w:rsid w:val="35762C4A"/>
    <w:rsid w:val="369736C3"/>
    <w:rsid w:val="381C6576"/>
    <w:rsid w:val="3C090BBF"/>
    <w:rsid w:val="3FE47979"/>
    <w:rsid w:val="44901E7E"/>
    <w:rsid w:val="44DC50C3"/>
    <w:rsid w:val="45E701C3"/>
    <w:rsid w:val="46191F15"/>
    <w:rsid w:val="46712183"/>
    <w:rsid w:val="47486A40"/>
    <w:rsid w:val="47B255BA"/>
    <w:rsid w:val="4A9B77CE"/>
    <w:rsid w:val="4DCB03CA"/>
    <w:rsid w:val="4E645DAC"/>
    <w:rsid w:val="50BE6DEA"/>
    <w:rsid w:val="53EE096F"/>
    <w:rsid w:val="55C914EE"/>
    <w:rsid w:val="57235785"/>
    <w:rsid w:val="57405985"/>
    <w:rsid w:val="587578B0"/>
    <w:rsid w:val="5AB53F94"/>
    <w:rsid w:val="5CBD5382"/>
    <w:rsid w:val="5DB449D7"/>
    <w:rsid w:val="5DC42740"/>
    <w:rsid w:val="5ED660A5"/>
    <w:rsid w:val="660D78EE"/>
    <w:rsid w:val="6B804548"/>
    <w:rsid w:val="71072C18"/>
    <w:rsid w:val="72874010"/>
    <w:rsid w:val="74373814"/>
    <w:rsid w:val="753F0BD2"/>
    <w:rsid w:val="7579628B"/>
    <w:rsid w:val="780D6D66"/>
    <w:rsid w:val="7BC6204D"/>
    <w:rsid w:val="7CEA58C8"/>
    <w:rsid w:val="7E9E696A"/>
    <w:rsid w:val="7F596D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23"/>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6"/>
    <w:qFormat/>
    <w:uiPriority w:val="0"/>
    <w:pPr>
      <w:ind w:left="100" w:leftChars="2500"/>
    </w:pPr>
  </w:style>
  <w:style w:type="paragraph" w:styleId="4">
    <w:name w:val="Balloon Text"/>
    <w:basedOn w:val="1"/>
    <w:semiHidden/>
    <w:qFormat/>
    <w:uiPriority w:val="0"/>
    <w:rPr>
      <w:sz w:val="18"/>
      <w:szCs w:val="18"/>
    </w:rPr>
  </w:style>
  <w:style w:type="paragraph" w:styleId="5">
    <w:name w:val="footer"/>
    <w:basedOn w:val="1"/>
    <w:link w:val="15"/>
    <w:qFormat/>
    <w:uiPriority w:val="99"/>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llowedHyperlink"/>
    <w:qFormat/>
    <w:uiPriority w:val="0"/>
    <w:rPr>
      <w:color w:val="954F72"/>
      <w:u w:val="single"/>
    </w:rPr>
  </w:style>
  <w:style w:type="character" w:styleId="12">
    <w:name w:val="Hyperlink"/>
    <w:qFormat/>
    <w:uiPriority w:val="0"/>
    <w:rPr>
      <w:color w:val="0000FF"/>
      <w:u w:val="single"/>
    </w:rPr>
  </w:style>
  <w:style w:type="paragraph" w:customStyle="1" w:styleId="13">
    <w:name w:val="列表段落1"/>
    <w:basedOn w:val="1"/>
    <w:qFormat/>
    <w:uiPriority w:val="0"/>
    <w:pPr>
      <w:ind w:firstLine="420" w:firstLineChars="200"/>
    </w:pPr>
    <w:rPr>
      <w:rFonts w:ascii="Calibri" w:hAnsi="Calibri" w:cs="Calibri"/>
      <w:szCs w:val="21"/>
    </w:rPr>
  </w:style>
  <w:style w:type="character" w:customStyle="1" w:styleId="14">
    <w:name w:val="页眉 字符"/>
    <w:link w:val="6"/>
    <w:qFormat/>
    <w:uiPriority w:val="0"/>
    <w:rPr>
      <w:kern w:val="2"/>
      <w:sz w:val="18"/>
      <w:szCs w:val="18"/>
    </w:rPr>
  </w:style>
  <w:style w:type="character" w:customStyle="1" w:styleId="15">
    <w:name w:val="页脚 字符1"/>
    <w:link w:val="5"/>
    <w:qFormat/>
    <w:uiPriority w:val="0"/>
    <w:rPr>
      <w:kern w:val="2"/>
      <w:sz w:val="18"/>
      <w:szCs w:val="18"/>
    </w:rPr>
  </w:style>
  <w:style w:type="character" w:customStyle="1" w:styleId="16">
    <w:name w:val="日期 字符"/>
    <w:link w:val="3"/>
    <w:qFormat/>
    <w:uiPriority w:val="0"/>
    <w:rPr>
      <w:kern w:val="2"/>
      <w:sz w:val="21"/>
      <w:szCs w:val="24"/>
    </w:rPr>
  </w:style>
  <w:style w:type="character" w:customStyle="1" w:styleId="17">
    <w:name w:val="Unresolved Mention"/>
    <w:semiHidden/>
    <w:unhideWhenUsed/>
    <w:qFormat/>
    <w:uiPriority w:val="99"/>
    <w:rPr>
      <w:color w:val="605E5C"/>
      <w:shd w:val="clear" w:color="auto" w:fill="E1DFDD"/>
    </w:rPr>
  </w:style>
  <w:style w:type="character" w:customStyle="1" w:styleId="18">
    <w:name w:val="页脚 字符"/>
    <w:basedOn w:val="10"/>
    <w:qFormat/>
    <w:uiPriority w:val="99"/>
  </w:style>
  <w:style w:type="paragraph" w:styleId="19">
    <w:name w:val="List Paragraph"/>
    <w:basedOn w:val="1"/>
    <w:qFormat/>
    <w:uiPriority w:val="34"/>
    <w:pPr>
      <w:ind w:firstLine="420" w:firstLineChars="200"/>
    </w:pPr>
  </w:style>
  <w:style w:type="paragraph" w:customStyle="1" w:styleId="20">
    <w:name w:val="71e7dc79-1ff7-45e8-997d-0ebda3762b91"/>
    <w:basedOn w:val="2"/>
    <w:next w:val="21"/>
    <w:link w:val="22"/>
    <w:qFormat/>
    <w:uiPriority w:val="0"/>
    <w:pPr>
      <w:adjustRightInd w:val="0"/>
      <w:snapToGrid w:val="0"/>
      <w:spacing w:before="0" w:beforeLines="50" w:after="0" w:line="288" w:lineRule="auto"/>
      <w:jc w:val="left"/>
    </w:pPr>
    <w:rPr>
      <w:rFonts w:ascii="微软雅黑" w:hAnsi="微软雅黑" w:eastAsia="微软雅黑"/>
      <w:color w:val="000000"/>
      <w:sz w:val="28"/>
      <w:szCs w:val="28"/>
    </w:rPr>
  </w:style>
  <w:style w:type="paragraph" w:customStyle="1" w:styleId="21">
    <w:name w:val="acbfdd8b-e11b-4d36-88ff-6049b138f862"/>
    <w:basedOn w:val="1"/>
    <w:link w:val="24"/>
    <w:qFormat/>
    <w:uiPriority w:val="0"/>
    <w:pPr>
      <w:adjustRightInd w:val="0"/>
      <w:snapToGrid w:val="0"/>
      <w:spacing w:beforeLines="50" w:line="288" w:lineRule="auto"/>
      <w:jc w:val="left"/>
    </w:pPr>
    <w:rPr>
      <w:rFonts w:ascii="微软雅黑" w:hAnsi="微软雅黑" w:eastAsia="微软雅黑"/>
      <w:color w:val="000000"/>
      <w:sz w:val="22"/>
      <w:szCs w:val="28"/>
    </w:rPr>
  </w:style>
  <w:style w:type="character" w:customStyle="1" w:styleId="22">
    <w:name w:val="71e7dc79-1ff7-45e8-997d-0ebda3762b91 字符"/>
    <w:basedOn w:val="10"/>
    <w:link w:val="20"/>
    <w:qFormat/>
    <w:uiPriority w:val="0"/>
    <w:rPr>
      <w:rFonts w:ascii="微软雅黑" w:hAnsi="微软雅黑" w:eastAsia="微软雅黑" w:cstheme="majorBidi"/>
      <w:b/>
      <w:bCs/>
      <w:color w:val="000000"/>
      <w:kern w:val="2"/>
      <w:sz w:val="28"/>
      <w:szCs w:val="28"/>
    </w:rPr>
  </w:style>
  <w:style w:type="character" w:customStyle="1" w:styleId="23">
    <w:name w:val="标题 2 字符"/>
    <w:basedOn w:val="10"/>
    <w:link w:val="2"/>
    <w:semiHidden/>
    <w:qFormat/>
    <w:uiPriority w:val="0"/>
    <w:rPr>
      <w:rFonts w:asciiTheme="majorHAnsi" w:hAnsiTheme="majorHAnsi" w:eastAsiaTheme="majorEastAsia" w:cstheme="majorBidi"/>
      <w:b/>
      <w:bCs/>
      <w:kern w:val="2"/>
      <w:sz w:val="32"/>
      <w:szCs w:val="32"/>
    </w:rPr>
  </w:style>
  <w:style w:type="character" w:customStyle="1" w:styleId="24">
    <w:name w:val="acbfdd8b-e11b-4d36-88ff-6049b138f862 字符"/>
    <w:basedOn w:val="10"/>
    <w:link w:val="21"/>
    <w:qFormat/>
    <w:uiPriority w:val="0"/>
    <w:rPr>
      <w:rFonts w:ascii="微软雅黑" w:hAnsi="微软雅黑" w:eastAsia="微软雅黑"/>
      <w:color w:val="000000"/>
      <w:kern w:val="2"/>
      <w:sz w:val="22"/>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DA0D0-EAD5-4A40-9D9F-8D56985CA6F5}">
  <ds:schemaRefs/>
</ds:datastoreItem>
</file>

<file path=docProps/app.xml><?xml version="1.0" encoding="utf-8"?>
<Properties xmlns="http://schemas.openxmlformats.org/officeDocument/2006/extended-properties" xmlns:vt="http://schemas.openxmlformats.org/officeDocument/2006/docPropsVTypes">
  <Template>Normal</Template>
  <Pages>5</Pages>
  <Words>2540</Words>
  <Characters>2583</Characters>
  <Lines>27</Lines>
  <Paragraphs>7</Paragraphs>
  <TotalTime>0</TotalTime>
  <ScaleCrop>false</ScaleCrop>
  <LinksUpToDate>false</LinksUpToDate>
  <CharactersWithSpaces>2587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2025-03-21T08:26:00Z</dcterms:created>
  <dc:creator>b</dc:creator>
  <cp:lastModifiedBy>路燕</cp:lastModifiedBy>
  <cp:lastPrinted>2024-06-20T07:01:00Z</cp:lastPrinted>
  <dcterms:modified xsi:type="dcterms:W3CDTF">2026-03-20T07:57:28Z</dcterms:modified>
  <dc:title>北京林业大学研究生院</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-1272885965</vt:i4>
  </property>
  <property fmtid="{D5CDD505-2E9C-101B-9397-08002B2CF9AE}" pid="3" name="_EmailSubject">
    <vt:lpwstr>北京林业大学研究生院发文模板</vt:lpwstr>
  </property>
  <property fmtid="{D5CDD505-2E9C-101B-9397-08002B2CF9AE}" pid="4" name="_AuthorEmail">
    <vt:lpwstr>jlm@bjfu.edu.cn</vt:lpwstr>
  </property>
  <property fmtid="{D5CDD505-2E9C-101B-9397-08002B2CF9AE}" pid="5" name="_AuthorEmailDisplayName">
    <vt:lpwstr>jlm</vt:lpwstr>
  </property>
  <property fmtid="{D5CDD505-2E9C-101B-9397-08002B2CF9AE}" pid="6" name="_ReviewingToolsShownOnce">
    <vt:lpwstr/>
  </property>
  <property fmtid="{D5CDD505-2E9C-101B-9397-08002B2CF9AE}" pid="7" name="KSOTemplateDocerSaveRecord">
    <vt:lpwstr>eyJoZGlkIjoiZjMzMGViY2Y1OTJhMWY3Y2E1MTcwYWZkMjVkZDJhMmQiLCJ1c2VySWQiOiIxNDYyMjA1NTU3In0=</vt:lpwstr>
  </property>
  <property fmtid="{D5CDD505-2E9C-101B-9397-08002B2CF9AE}" pid="8" name="KSOProductBuildVer">
    <vt:lpwstr>2052-12.1.0.25225</vt:lpwstr>
  </property>
  <property fmtid="{D5CDD505-2E9C-101B-9397-08002B2CF9AE}" pid="9" name="ICV">
    <vt:lpwstr>4BDACDD2819F4C06BC702AF621579B3B_13</vt:lpwstr>
  </property>
</Properties>
</file>