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F2B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val="0"/>
          <w:bCs/>
          <w:color w:val="000000" w:themeColor="text1"/>
          <w:sz w:val="44"/>
          <w:szCs w:val="44"/>
          <w:lang w:val="en-US" w:eastAsia="zh-CN"/>
          <w14:textFill>
            <w14:solidFill>
              <w14:schemeClr w14:val="tx1"/>
            </w14:solidFill>
          </w14:textFill>
        </w:rPr>
      </w:pPr>
      <w:r>
        <w:rPr>
          <w:rFonts w:hint="eastAsia" w:ascii="Times New Roman" w:hAnsi="Times New Roman" w:eastAsia="方正小标宋简体" w:cs="Times New Roman"/>
          <w:b w:val="0"/>
          <w:bCs/>
          <w:color w:val="000000" w:themeColor="text1"/>
          <w:sz w:val="44"/>
          <w:szCs w:val="44"/>
          <w:lang w:val="en-US" w:eastAsia="zh-CN"/>
          <w14:textFill>
            <w14:solidFill>
              <w14:schemeClr w14:val="tx1"/>
            </w14:solidFill>
          </w14:textFill>
        </w:rPr>
        <w:t>中国林业科学研究院协同培养招生信息</w:t>
      </w:r>
      <w:bookmarkStart w:id="0" w:name="_GoBack"/>
      <w:bookmarkEnd w:id="0"/>
    </w:p>
    <w:p w14:paraId="5726200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olor w:val="333333"/>
          <w:kern w:val="0"/>
          <w:sz w:val="32"/>
          <w:szCs w:val="32"/>
          <w:lang w:val="en-US" w:eastAsia="zh-CN"/>
        </w:rPr>
      </w:pPr>
    </w:p>
    <w:p w14:paraId="3AF9FE4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中国林业科学研究院（简称中国林科院）是国家林业和草原局直属的综合性、多学科、社会公益型国家级科研机构，主要从事林草应用基础研究、战略高技术研究、社会重大公益性研究、技术开发研究和软科学研究，着重解决我国林草发展和生态建设中带有全局性、综合性、关键性和基础性的重大科技问题。目前全院设有18个独立法人研究所、中心，14个非独立法人机构，28个共建机构，60余个业务挂靠机构，分布在全国24个省、自治区、直辖市。建院以来，在国家林草主管部门的正确领导下，为国家林草高质量发展和生态建设重大工程提供了强有力的科技支撑，对加快林草发展、改善生态环境、维护生态安全、建设生态文明做出了重大贡献。</w:t>
      </w:r>
    </w:p>
    <w:p w14:paraId="77AC5B6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中国林科院构成了布局合理、体系完整、实力雄厚的国家级林业科技创新体系。按气候带部署有林业研究所、亚热带林业研究所、热带林业研究所三个研究所及热带、亚热带、沙漠和华北四个林业实验中心；设有森林生态环境与自然保护、资源信息、高原林业、生态保护与修复、科技信息、木材工业、林产化学工业、林业机械8个专门研究机构；针对泡桐及经济林、桉树、竹子等中国特有或重要树种分别建立了经济林研究所、速生树木研究所和竹子研究开发中心。</w:t>
      </w:r>
    </w:p>
    <w:sectPr>
      <w:pgSz w:w="11906" w:h="16838"/>
      <w:pgMar w:top="2098"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embedRegular r:id="rId1" w:fontKey="{523B9AF3-247D-4287-B884-7DEEE4CDD3EB}"/>
  </w:font>
  <w:font w:name="小标宋">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embedRegular r:id="rId2" w:fontKey="{2B541731-BFE2-4631-8558-7892BD31B66A}"/>
  </w:font>
  <w:font w:name="仿宋">
    <w:panose1 w:val="02010609060101010101"/>
    <w:charset w:val="86"/>
    <w:family w:val="auto"/>
    <w:pitch w:val="default"/>
    <w:sig w:usb0="800002BF" w:usb1="38CF7CFA" w:usb2="00000016" w:usb3="00000000" w:csb0="00040001" w:csb1="00000000"/>
    <w:embedRegular r:id="rId3" w:fontKey="{05B3AED9-08E6-4DF9-B961-C8C0DC0ABC1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F204AB"/>
    <w:rsid w:val="19901D39"/>
    <w:rsid w:val="25024CDD"/>
    <w:rsid w:val="6D8A10DF"/>
    <w:rsid w:val="748C5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304</Words>
  <Characters>309</Characters>
  <Lines>0</Lines>
  <Paragraphs>0</Paragraphs>
  <TotalTime>2</TotalTime>
  <ScaleCrop>false</ScaleCrop>
  <LinksUpToDate>false</LinksUpToDate>
  <CharactersWithSpaces>311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2026-03-24T00:43:00Z</dcterms:created>
  <dc:creator>Administrator</dc:creator>
  <cp:lastModifiedBy>冰宸</cp:lastModifiedBy>
  <dcterms:modified xsi:type="dcterms:W3CDTF">2026-03-24T02:41:48Z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eyJoZGlkIjoiOGM4MWEzMzEzNWU4NzZjMWI1OTBjZWMzNDQyYTAxZjIiLCJ1c2VySWQiOiI1NTk4NTEzNDIifQ==</vt:lpwstr>
  </property>
  <property fmtid="{D5CDD505-2E9C-101B-9397-08002B2CF9AE}" pid="4" name="ICV">
    <vt:lpwstr>4E1CAC55580F484396C9B59A0F7596BF_12</vt:lpwstr>
  </property>
</Properties>
</file>