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outlineLvl w:val="0"/>
        <w:rPr>
          <w:rFonts w:hint="eastAsia" w:ascii="宋体" w:hAnsi="宋体" w:eastAsia="宋体" w:cs="宋体"/>
          <w:b/>
          <w:sz w:val="30"/>
          <w:szCs w:val="30"/>
          <w:lang w:val="en-US" w:eastAsia="zh-CN"/>
        </w:rPr>
      </w:pPr>
      <w:bookmarkStart w:id="0" w:name="_Toc26940"/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研究生培养计划系统操作流程说明</w:t>
      </w:r>
      <w:bookmarkEnd w:id="0"/>
    </w:p>
    <w:sdt>
      <w:sdtPr>
        <w:rPr>
          <w:rFonts w:ascii="宋体" w:hAnsi="宋体" w:eastAsia="宋体" w:cstheme="minorBidi"/>
          <w:b/>
          <w:bCs/>
          <w:kern w:val="2"/>
          <w:sz w:val="28"/>
          <w:szCs w:val="28"/>
          <w:lang w:val="en-US" w:eastAsia="zh-CN" w:bidi="ar-SA"/>
        </w:rPr>
        <w:id w:val="147475565"/>
        <w15:color w:val="DBDBDB"/>
        <w:docPartObj>
          <w:docPartGallery w:val="Table of Contents"/>
          <w:docPartUnique/>
        </w:docPartObj>
      </w:sdtPr>
      <w:sdtEndPr>
        <w:rPr>
          <w:rFonts w:hint="default" w:ascii="宋体" w:hAnsi="宋体" w:eastAsia="宋体" w:cs="宋体"/>
          <w:kern w:val="2"/>
          <w:sz w:val="21"/>
          <w:szCs w:val="30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 w:cstheme="minorBidi"/>
              <w:b/>
              <w:bCs/>
              <w:kern w:val="2"/>
              <w:sz w:val="28"/>
              <w:szCs w:val="28"/>
              <w:lang w:val="en-US" w:eastAsia="zh-CN" w:bidi="ar-SA"/>
            </w:rPr>
          </w:pPr>
        </w:p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b/>
              <w:bCs/>
              <w:sz w:val="28"/>
              <w:szCs w:val="28"/>
            </w:rPr>
            <w:t>目</w:t>
          </w:r>
          <w:r>
            <w:rPr>
              <w:rFonts w:hint="eastAsia" w:ascii="宋体" w:hAnsi="宋体" w:eastAsia="宋体"/>
              <w:b/>
              <w:bCs/>
              <w:sz w:val="28"/>
              <w:szCs w:val="28"/>
              <w:lang w:val="en-US" w:eastAsia="zh-CN"/>
            </w:rPr>
            <w:t xml:space="preserve">    </w:t>
          </w:r>
          <w:r>
            <w:rPr>
              <w:rFonts w:ascii="宋体" w:hAnsi="宋体" w:eastAsia="宋体"/>
              <w:b/>
              <w:bCs/>
              <w:sz w:val="28"/>
              <w:szCs w:val="28"/>
            </w:rPr>
            <w:t>录</w:t>
          </w:r>
          <w:r>
            <w:rPr>
              <w:rFonts w:hint="default" w:ascii="宋体" w:hAnsi="宋体" w:eastAsia="宋体" w:cs="宋体"/>
              <w:b/>
              <w:sz w:val="30"/>
              <w:szCs w:val="30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b/>
              <w:sz w:val="30"/>
              <w:szCs w:val="30"/>
              <w:lang w:val="en-US" w:eastAsia="zh-CN"/>
            </w:rPr>
            <w:instrText xml:space="preserve">TOC \o "1-1" \h \u </w:instrText>
          </w:r>
          <w:r>
            <w:rPr>
              <w:rFonts w:hint="default" w:ascii="宋体" w:hAnsi="宋体" w:eastAsia="宋体" w:cs="宋体"/>
              <w:b/>
              <w:sz w:val="30"/>
              <w:szCs w:val="30"/>
              <w:lang w:val="en-US" w:eastAsia="zh-CN"/>
            </w:rPr>
            <w:fldChar w:fldCharType="separate"/>
          </w:r>
        </w:p>
        <w:p>
          <w:pPr>
            <w:pStyle w:val="7"/>
            <w:tabs>
              <w:tab w:val="right" w:leader="dot" w:pos="8306"/>
            </w:tabs>
            <w:spacing w:line="360" w:lineRule="auto"/>
          </w:pP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instrText xml:space="preserve"> HYPERLINK \l _Toc23687 </w:instrText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separate"/>
          </w:r>
          <w:r>
            <w:rPr>
              <w:rFonts w:hint="eastAsia" w:ascii="Arial" w:hAnsi="Arial"/>
              <w:lang w:val="en-US" w:eastAsia="zh-CN"/>
            </w:rPr>
            <w:t xml:space="preserve">一、 </w:t>
          </w:r>
          <w:r>
            <w:rPr>
              <w:rFonts w:hint="eastAsia" w:ascii="Arial" w:hAnsi="Arial"/>
              <w:lang w:val="en-US" w:eastAsia="zh-CN"/>
            </w:rPr>
            <w:t>制定依据</w:t>
          </w:r>
          <w:r>
            <w:tab/>
          </w:r>
          <w:r>
            <w:fldChar w:fldCharType="begin"/>
          </w:r>
          <w:r>
            <w:instrText xml:space="preserve"> PAGEREF _Toc23687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line="360" w:lineRule="auto"/>
          </w:pP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instrText xml:space="preserve"> HYPERLINK \l _Toc31088 </w:instrText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二、 制定流程</w:t>
          </w:r>
          <w:r>
            <w:tab/>
          </w:r>
          <w:r>
            <w:fldChar w:fldCharType="begin"/>
          </w:r>
          <w:r>
            <w:instrText xml:space="preserve"> PAGEREF _Toc31088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line="360" w:lineRule="auto"/>
          </w:pP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instrText xml:space="preserve"> HYPERLINK \l _Toc1478 </w:instrText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separate"/>
          </w:r>
          <w:r>
            <w:rPr>
              <w:rFonts w:hint="eastAsia" w:ascii="Arial" w:hAnsi="Arial"/>
              <w:lang w:val="en-US" w:eastAsia="zh-CN"/>
            </w:rPr>
            <w:t xml:space="preserve">三、 </w:t>
          </w:r>
          <w:r>
            <w:rPr>
              <w:rFonts w:hint="eastAsia" w:ascii="Arial" w:hAnsi="Arial"/>
              <w:lang w:val="en-US" w:eastAsia="zh-CN"/>
            </w:rPr>
            <w:t>学生端系统操作流程</w:t>
          </w:r>
          <w:r>
            <w:tab/>
          </w:r>
          <w:r>
            <w:fldChar w:fldCharType="begin"/>
          </w:r>
          <w:r>
            <w:instrText xml:space="preserve"> PAGEREF _Toc1478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line="360" w:lineRule="auto"/>
          </w:pP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instrText xml:space="preserve"> HYPERLINK \l _Toc8520 </w:instrText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separate"/>
          </w:r>
          <w:r>
            <w:rPr>
              <w:rFonts w:hint="eastAsia" w:ascii="Arial" w:hAnsi="Arial"/>
              <w:lang w:val="en-US" w:eastAsia="zh-CN"/>
            </w:rPr>
            <w:t>四、 导师端系统操作流程</w:t>
          </w:r>
          <w:r>
            <w:tab/>
          </w:r>
          <w:r>
            <w:fldChar w:fldCharType="begin"/>
          </w:r>
          <w:r>
            <w:instrText xml:space="preserve"> PAGEREF _Toc8520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line="360" w:lineRule="auto"/>
          </w:pP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instrText xml:space="preserve"> HYPERLINK \l _Toc4134 </w:instrText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separate"/>
          </w:r>
          <w:r>
            <w:rPr>
              <w:rFonts w:hint="eastAsia" w:ascii="Arial" w:hAnsi="Arial"/>
              <w:lang w:val="en-US" w:eastAsia="zh-CN"/>
            </w:rPr>
            <w:t>五、 学院端系统使用说明</w:t>
          </w:r>
          <w:r>
            <w:tab/>
          </w:r>
          <w:r>
            <w:fldChar w:fldCharType="begin"/>
          </w:r>
          <w:r>
            <w:instrText xml:space="preserve"> PAGEREF _Toc4134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end"/>
          </w:r>
        </w:p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0" w:firstLineChars="0"/>
            <w:jc w:val="center"/>
            <w:textAlignment w:val="auto"/>
            <w:rPr>
              <w:rFonts w:hint="default" w:ascii="宋体" w:hAnsi="宋体" w:eastAsia="宋体" w:cs="宋体"/>
              <w:b/>
              <w:sz w:val="30"/>
              <w:szCs w:val="30"/>
              <w:lang w:val="en-US" w:eastAsia="zh-CN"/>
            </w:rPr>
          </w:pP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end"/>
          </w:r>
        </w:p>
      </w:sdtContent>
    </w:sdt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br w:type="page"/>
      </w:r>
      <w:bookmarkStart w:id="6" w:name="_GoBack"/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研究生培养计划是研究生必修环节之一，也是研究生教学管理、质量监督的依据。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研究培养计划由课程学习计划和论文研究计划两部分组成。</w:t>
      </w:r>
    </w:p>
    <w:p>
      <w:pPr>
        <w:pStyle w:val="3"/>
        <w:numPr>
          <w:ilvl w:val="0"/>
          <w:numId w:val="1"/>
        </w:numPr>
        <w:bidi w:val="0"/>
        <w:outlineLvl w:val="0"/>
        <w:rPr>
          <w:rFonts w:hint="eastAsia" w:ascii="Arial" w:hAnsi="Arial"/>
          <w:b/>
          <w:lang w:val="en-US" w:eastAsia="zh-CN"/>
        </w:rPr>
      </w:pPr>
      <w:bookmarkStart w:id="1" w:name="_Toc23687"/>
      <w:r>
        <w:rPr>
          <w:rFonts w:hint="eastAsia" w:ascii="Arial" w:hAnsi="Arial"/>
          <w:b/>
          <w:lang w:val="en-US" w:eastAsia="zh-CN"/>
        </w:rPr>
        <w:t>制定依据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研究生培养计划应在导师（组）指导下，根据相应学科/专业类型/领域研究生培养方案，同时结合研究生个人特点制定。</w:t>
      </w:r>
    </w:p>
    <w:p>
      <w:pPr>
        <w:pStyle w:val="3"/>
        <w:numPr>
          <w:ilvl w:val="0"/>
          <w:numId w:val="1"/>
        </w:numPr>
        <w:bidi w:val="0"/>
        <w:outlineLvl w:val="0"/>
        <w:rPr>
          <w:rFonts w:hint="eastAsia"/>
          <w:lang w:val="en-US" w:eastAsia="zh-CN"/>
        </w:rPr>
      </w:pPr>
      <w:bookmarkStart w:id="2" w:name="_Toc31088"/>
      <w:r>
        <w:rPr>
          <w:rFonts w:hint="eastAsia"/>
          <w:lang w:val="en-US" w:eastAsia="zh-CN"/>
        </w:rPr>
        <w:t>制定流程</w:t>
      </w:r>
      <w:bookmarkEnd w:id="2"/>
    </w:p>
    <w:p>
      <w:pPr>
        <w:numPr>
          <w:numId w:val="0"/>
        </w:numPr>
        <w:spacing w:line="360" w:lineRule="auto"/>
        <w:ind w:leftChars="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4231640" cy="4936490"/>
            <wp:effectExtent l="0" t="0" r="16510" b="16510"/>
            <wp:docPr id="5" name="图片 5" descr="培养计划流程说明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培养计划流程说明_01"/>
                    <pic:cNvPicPr>
                      <a:picLocks noChangeAspect="1"/>
                    </pic:cNvPicPr>
                  </pic:nvPicPr>
                  <pic:blipFill>
                    <a:blip r:embed="rId4"/>
                    <a:srcRect r="8404" b="10890"/>
                    <a:stretch>
                      <a:fillRect/>
                    </a:stretch>
                  </pic:blipFill>
                  <pic:spPr>
                    <a:xfrm>
                      <a:off x="0" y="0"/>
                      <a:ext cx="4231640" cy="493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page"/>
      </w:r>
    </w:p>
    <w:p>
      <w:pPr>
        <w:pStyle w:val="3"/>
        <w:numPr>
          <w:ilvl w:val="0"/>
          <w:numId w:val="1"/>
        </w:numPr>
        <w:bidi w:val="0"/>
        <w:outlineLvl w:val="0"/>
        <w:rPr>
          <w:rFonts w:hint="eastAsia" w:ascii="Arial" w:hAnsi="Arial"/>
          <w:b/>
          <w:lang w:val="en-US" w:eastAsia="zh-CN"/>
        </w:rPr>
      </w:pPr>
      <w:bookmarkStart w:id="3" w:name="_Toc1478"/>
      <w:r>
        <w:rPr>
          <w:rFonts w:hint="eastAsia" w:ascii="Arial" w:hAnsi="Arial"/>
          <w:b/>
          <w:lang w:val="en-US" w:eastAsia="zh-CN"/>
        </w:rPr>
        <w:t>学生端系统操作流程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1、研究生登陆个人研究生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教育教学</w:t>
      </w:r>
      <w:r>
        <w:rPr>
          <w:rFonts w:hint="eastAsia" w:ascii="宋体" w:hAnsi="宋体" w:eastAsia="宋体" w:cs="宋体"/>
          <w:sz w:val="24"/>
          <w:szCs w:val="24"/>
        </w:rPr>
        <w:t>管理信息系统，选择“培养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管理</w:t>
      </w:r>
      <w:r>
        <w:rPr>
          <w:rFonts w:hint="eastAsia" w:ascii="宋体" w:hAnsi="宋体" w:eastAsia="宋体" w:cs="宋体"/>
          <w:sz w:val="24"/>
          <w:szCs w:val="24"/>
        </w:rPr>
        <w:t>”下的“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课程学习计划</w:t>
      </w:r>
      <w:r>
        <w:rPr>
          <w:rFonts w:hint="eastAsia" w:ascii="宋体" w:hAnsi="宋体" w:eastAsia="宋体" w:cs="宋体"/>
          <w:sz w:val="24"/>
          <w:szCs w:val="24"/>
        </w:rPr>
        <w:t>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或者“论文研究计划”进行制定</w:t>
      </w:r>
      <w:r>
        <w:rPr>
          <w:rFonts w:hint="eastAsia" w:ascii="宋体" w:hAnsi="宋体" w:eastAsia="宋体" w:cs="宋体"/>
          <w:sz w:val="24"/>
          <w:szCs w:val="24"/>
        </w:rPr>
        <w:t>，如下图1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63515" cy="2565400"/>
            <wp:effectExtent l="0" t="0" r="13335" b="635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1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菜单栏选项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2、制定课程学习计划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对照相应学科/专业类型/领域研究生培养方案，研究生与导师共同协商，勾选列入计划内的相应课程，若想选择未在列表内的其他选修课，可点击右上角“添加计划外选修课”进行添加，确认无误后，点击“保存”方可进行选课。如下图2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63515" cy="2565400"/>
            <wp:effectExtent l="0" t="0" r="13335" b="635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2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制定课程学习计划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课程计划一旦提交后，研究生不能自行修改，如图3。如欲修改，需导师端撤销提交后，学生端方可操作修改。课程计划完成后，请提醒导师及时登陆个人系统完成网上审核，并随时关注导师审核情况。如导师审核通过，则可继续论文计划的网上填写；若导师审核不通过，则需根据导师的意见重新修改课程计划并提交，直至审核通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  <w:r>
        <w:drawing>
          <wp:inline distT="0" distB="0" distL="114300" distR="114300">
            <wp:extent cx="5263515" cy="2565400"/>
            <wp:effectExtent l="0" t="0" r="13335" b="635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3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提交后无法修改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3、制定论文研究计划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。在研究生进行开题论证之前须填写论文研究计划，若无需再修改，点击“提交”（图4），然后提醒导师及时登陆个人系统完成网上审核，并随时关注导师审核结果。</w:t>
      </w:r>
    </w:p>
    <w:p>
      <w:pPr>
        <w:numPr>
          <w:numId w:val="0"/>
        </w:numPr>
        <w:spacing w:line="360" w:lineRule="auto"/>
      </w:pPr>
      <w:r>
        <w:drawing>
          <wp:inline distT="0" distB="0" distL="114300" distR="114300">
            <wp:extent cx="5263515" cy="2565400"/>
            <wp:effectExtent l="0" t="0" r="13335" b="635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4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制定论文研究计划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论文研究计划一旦提交后，研究生不能自行修改。如欲修改，需导师端驳回提交后，学生端方可操作修改。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研究生可在“培养计划查询”处查看保存或提交后的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培养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计划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，如图5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。</w:t>
      </w:r>
    </w:p>
    <w:p>
      <w:pPr>
        <w:numPr>
          <w:numId w:val="0"/>
        </w:numPr>
        <w:spacing w:line="360" w:lineRule="auto"/>
        <w:ind w:leftChars="0"/>
      </w:pPr>
      <w:r>
        <w:drawing>
          <wp:inline distT="0" distB="0" distL="114300" distR="114300">
            <wp:extent cx="5263515" cy="2565400"/>
            <wp:effectExtent l="0" t="0" r="13335" b="6350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5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培养计划查询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培养计划网上填写过程中如遇到其他问题，请及时咨询学院秘书或研究生院培养办。</w:t>
      </w:r>
    </w:p>
    <w:p>
      <w:pPr>
        <w:spacing w:line="360" w:lineRule="auto"/>
        <w:jc w:val="center"/>
        <w:rPr>
          <w:rFonts w:hint="eastAsia" w:eastAsia="黑体"/>
          <w:sz w:val="18"/>
          <w:lang w:val="en-US" w:eastAsia="zh-CN"/>
        </w:rPr>
      </w:pPr>
    </w:p>
    <w:p>
      <w:pPr>
        <w:rPr>
          <w:rFonts w:hint="eastAsia" w:eastAsia="黑体"/>
          <w:sz w:val="18"/>
          <w:lang w:val="en-US" w:eastAsia="zh-CN"/>
        </w:rPr>
      </w:pPr>
      <w:r>
        <w:rPr>
          <w:rFonts w:hint="eastAsia" w:eastAsia="黑体"/>
          <w:sz w:val="18"/>
          <w:lang w:val="en-US" w:eastAsia="zh-CN"/>
        </w:rPr>
        <w:br w:type="page"/>
      </w:r>
    </w:p>
    <w:p>
      <w:pPr>
        <w:spacing w:line="360" w:lineRule="auto"/>
        <w:jc w:val="center"/>
        <w:rPr>
          <w:rFonts w:hint="default" w:eastAsia="黑体"/>
          <w:sz w:val="18"/>
          <w:lang w:val="en-US" w:eastAsia="zh-CN"/>
        </w:rPr>
      </w:pPr>
    </w:p>
    <w:p>
      <w:pPr>
        <w:pStyle w:val="3"/>
        <w:numPr>
          <w:ilvl w:val="0"/>
          <w:numId w:val="1"/>
        </w:numPr>
        <w:bidi w:val="0"/>
        <w:outlineLvl w:val="0"/>
        <w:rPr>
          <w:rFonts w:hint="eastAsia" w:ascii="Arial" w:hAnsi="Arial"/>
          <w:b/>
          <w:lang w:val="en-US" w:eastAsia="zh-CN"/>
        </w:rPr>
      </w:pPr>
      <w:bookmarkStart w:id="4" w:name="_Toc8520"/>
      <w:r>
        <w:rPr>
          <w:rFonts w:hint="eastAsia" w:ascii="Arial" w:hAnsi="Arial"/>
          <w:b/>
          <w:lang w:val="en-US" w:eastAsia="zh-CN"/>
        </w:rPr>
        <w:t>导师端系统操作流程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导师进入研究生教育教学管理信息系统，选择“教师组”身份（图1），点击“学生培养管理”下的“课程学习计划审核”或“论文研究计划审核”进行培养计划审查管理，如下图2。</w:t>
      </w:r>
    </w:p>
    <w:p>
      <w:pPr>
        <w:spacing w:line="360" w:lineRule="auto"/>
        <w:jc w:val="center"/>
        <w:rPr>
          <w:rFonts w:hint="eastAsia"/>
        </w:rPr>
      </w:pPr>
      <w:r>
        <w:drawing>
          <wp:inline distT="0" distB="0" distL="114300" distR="114300">
            <wp:extent cx="5263515" cy="2565400"/>
            <wp:effectExtent l="0" t="0" r="13335" b="6350"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eastAsia="黑体"/>
          <w:sz w:val="18"/>
        </w:rPr>
      </w:pPr>
      <w:r>
        <w:rPr>
          <w:rFonts w:hint="eastAsia" w:eastAsia="黑体"/>
          <w:sz w:val="18"/>
        </w:rPr>
        <w:t xml:space="preserve">图1 </w:t>
      </w:r>
      <w:r>
        <w:rPr>
          <w:rFonts w:hint="eastAsia" w:eastAsia="黑体"/>
          <w:sz w:val="18"/>
          <w:lang w:val="en-US" w:eastAsia="zh-CN"/>
        </w:rPr>
        <w:t>身份切换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5263515" cy="2565400"/>
            <wp:effectExtent l="0" t="0" r="13335" b="6350"/>
            <wp:docPr id="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2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菜单选项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1. 课程学习计划审核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导师根据研究生培养方案对学生的课程进行审核，可筛选出“已提交（未审核）”的学生（图3），点击对应学生后面的“审核”进入审核页面（图4）。如审查不通过，可直接“撤销提交”，及时提醒学生登录个人系统对计划进行修改至审查通过为止。</w:t>
      </w:r>
    </w:p>
    <w:p>
      <w:pPr>
        <w:spacing w:line="360" w:lineRule="auto"/>
        <w:ind w:firstLine="420" w:firstLineChars="200"/>
        <w:rPr>
          <w:rFonts w:hint="default" w:eastAsiaTheme="minorEastAsia"/>
          <w:lang w:val="en-US" w:eastAsia="zh-CN"/>
        </w:rPr>
      </w:pPr>
    </w:p>
    <w:p>
      <w:pPr>
        <w:spacing w:line="360" w:lineRule="auto"/>
        <w:jc w:val="center"/>
      </w:pPr>
      <w:r>
        <w:drawing>
          <wp:inline distT="0" distB="0" distL="114300" distR="114300">
            <wp:extent cx="5263515" cy="2565400"/>
            <wp:effectExtent l="0" t="0" r="13335" b="6350"/>
            <wp:docPr id="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 w:eastAsia="黑体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3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筛选审核状态</w:t>
      </w:r>
    </w:p>
    <w:p>
      <w:pPr>
        <w:spacing w:line="360" w:lineRule="auto"/>
        <w:jc w:val="center"/>
        <w:rPr>
          <w:rFonts w:hint="eastAsia"/>
        </w:rPr>
      </w:pPr>
      <w:r>
        <w:drawing>
          <wp:inline distT="0" distB="0" distL="114300" distR="114300">
            <wp:extent cx="5263515" cy="2565400"/>
            <wp:effectExtent l="0" t="0" r="13335" b="6350"/>
            <wp:docPr id="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eastAsia="黑体"/>
          <w:sz w:val="18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4</w:t>
      </w:r>
      <w:r>
        <w:rPr>
          <w:rFonts w:hint="eastAsia" w:eastAsia="黑体"/>
          <w:sz w:val="18"/>
        </w:rPr>
        <w:t xml:space="preserve"> 课程</w:t>
      </w:r>
      <w:r>
        <w:rPr>
          <w:rFonts w:hint="eastAsia" w:eastAsia="黑体"/>
          <w:sz w:val="18"/>
          <w:lang w:val="en-US" w:eastAsia="zh-CN"/>
        </w:rPr>
        <w:t>学习</w:t>
      </w:r>
      <w:r>
        <w:rPr>
          <w:rFonts w:hint="eastAsia" w:eastAsia="黑体"/>
          <w:sz w:val="18"/>
        </w:rPr>
        <w:t>计划审核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/>
          <w:sz w:val="24"/>
          <w:szCs w:val="24"/>
        </w:rPr>
        <w:t>. 论文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研究</w:t>
      </w:r>
      <w:r>
        <w:rPr>
          <w:rFonts w:hint="eastAsia" w:ascii="宋体" w:hAnsi="宋体" w:eastAsia="宋体" w:cs="宋体"/>
          <w:b/>
          <w:sz w:val="24"/>
          <w:szCs w:val="24"/>
        </w:rPr>
        <w:t>计划审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筛选出“已提交（未审核）”的学生（图5），点击对应学生后面的“审核”进入审核页面（图6）。如审查不通过，可点击“驳回重新提交”，并及时提醒学生登录个人系统对计划进行修改至审查通过为止。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  <w:r>
        <w:drawing>
          <wp:inline distT="0" distB="0" distL="114300" distR="114300">
            <wp:extent cx="5263515" cy="2565400"/>
            <wp:effectExtent l="0" t="0" r="13335" b="6350"/>
            <wp:docPr id="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5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筛选审核状态</w:t>
      </w:r>
    </w:p>
    <w:p>
      <w:pPr>
        <w:spacing w:line="360" w:lineRule="auto"/>
        <w:ind w:firstLine="420" w:firstLineChars="200"/>
        <w:rPr>
          <w:rFonts w:hint="eastAsia"/>
        </w:rPr>
      </w:pPr>
    </w:p>
    <w:p>
      <w:pPr>
        <w:spacing w:line="360" w:lineRule="auto"/>
        <w:jc w:val="center"/>
      </w:pPr>
      <w:r>
        <w:drawing>
          <wp:inline distT="0" distB="0" distL="114300" distR="114300">
            <wp:extent cx="5263515" cy="2565400"/>
            <wp:effectExtent l="0" t="0" r="13335" b="6350"/>
            <wp:docPr id="2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eastAsia="黑体"/>
          <w:sz w:val="18"/>
          <w:lang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6</w:t>
      </w:r>
      <w:r>
        <w:rPr>
          <w:rFonts w:hint="eastAsia" w:eastAsia="黑体"/>
          <w:sz w:val="18"/>
        </w:rPr>
        <w:t xml:space="preserve"> 论文</w:t>
      </w:r>
      <w:r>
        <w:rPr>
          <w:rFonts w:hint="eastAsia" w:eastAsia="黑体"/>
          <w:sz w:val="18"/>
          <w:lang w:val="en-US" w:eastAsia="zh-CN"/>
        </w:rPr>
        <w:t>研究</w:t>
      </w:r>
      <w:r>
        <w:rPr>
          <w:rFonts w:hint="eastAsia" w:eastAsia="黑体"/>
          <w:sz w:val="18"/>
        </w:rPr>
        <w:t>计划</w:t>
      </w:r>
      <w:r>
        <w:rPr>
          <w:rFonts w:hint="eastAsia" w:eastAsia="黑体"/>
          <w:sz w:val="18"/>
          <w:lang w:val="en-US" w:eastAsia="zh-CN"/>
        </w:rPr>
        <w:t>审核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若审核时遇到其他问题，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请及时咨询学院秘书或研究生院培养办。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page"/>
      </w:r>
    </w:p>
    <w:p>
      <w:pPr>
        <w:pStyle w:val="3"/>
        <w:numPr>
          <w:ilvl w:val="0"/>
          <w:numId w:val="1"/>
        </w:numPr>
        <w:bidi w:val="0"/>
        <w:outlineLvl w:val="0"/>
        <w:rPr>
          <w:rFonts w:hint="eastAsia" w:ascii="Arial" w:hAnsi="Arial"/>
          <w:b/>
          <w:lang w:val="en-US" w:eastAsia="zh-CN"/>
        </w:rPr>
      </w:pPr>
      <w:bookmarkStart w:id="5" w:name="_Toc4134"/>
      <w:r>
        <w:rPr>
          <w:rFonts w:hint="eastAsia" w:ascii="Arial" w:hAnsi="Arial"/>
          <w:b/>
          <w:lang w:val="en-US" w:eastAsia="zh-CN"/>
        </w:rPr>
        <w:t>学院端系统使用说明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院管理人员进入研究生教育教学管理信息系统，选择“培养”下的“培养计划管理”，在“课程学习计划审核”、“论文研究计划审核”中，可查看学生计划的提交和审核情况，审核状态为“导师审核”则说明导师审核已通过。在“学生培养计划查询”、“培养计划完成情况”中，可及时跟进查看学生计划状态如图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  <w:r>
        <w:drawing>
          <wp:inline distT="0" distB="0" distL="114300" distR="114300">
            <wp:extent cx="5263515" cy="2565400"/>
            <wp:effectExtent l="0" t="0" r="13335" b="6350"/>
            <wp:docPr id="2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 w:eastAsia="黑体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1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菜单选项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若学生欲修改已提交的培养计划，学院研究生秘书可进入该生的审核页面“撤销提交”，或在与学生导师沟通后，在“学生培养计划修改”处进行手动修改。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  <w:r>
        <w:drawing>
          <wp:inline distT="0" distB="0" distL="114300" distR="114300">
            <wp:extent cx="5263515" cy="2565400"/>
            <wp:effectExtent l="0" t="0" r="13335" b="6350"/>
            <wp:docPr id="2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2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撤回提交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若遇到其他问题，请及时与研究生院培养办相关负责人联系。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CE4DE1"/>
    <w:multiLevelType w:val="singleLevel"/>
    <w:tmpl w:val="10CE4DE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jNmQ3OTg4ZDBiZTNmZWI3ZDlmOGM4MDA3ZDE3YjIifQ=="/>
  </w:docVars>
  <w:rsids>
    <w:rsidRoot w:val="1D867B5B"/>
    <w:rsid w:val="1D867B5B"/>
    <w:rsid w:val="4F3D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rFonts w:ascii="Arial" w:hAnsi="Arial" w:eastAsia="宋体"/>
      <w:b/>
      <w:sz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WPSOffice手动目录 1"/>
    <w:uiPriority w:val="0"/>
    <w:pPr>
      <w:ind w:leftChars="0"/>
    </w:pPr>
    <w:rPr>
      <w:rFonts w:ascii="Times New Roman" w:hAnsi="Times New Roman" w:eastAsia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1369</Words>
  <Characters>1371</Characters>
  <Lines>0</Lines>
  <Paragraphs>0</Paragraphs>
  <TotalTime>2</TotalTime>
  <ScaleCrop>false</ScaleCrop>
  <LinksUpToDate>false</LinksUpToDate>
  <CharactersWithSpaces>1386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2023-09-03T06:08:00Z</dcterms:created>
  <dc:creator>刘志家</dc:creator>
  <cp:lastModifiedBy>刘志家</cp:lastModifiedBy>
  <dcterms:modified xsi:type="dcterms:W3CDTF">2023-09-03T09:13:54Z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20B5D291BFE145C3885EEBEF26E1CA73</vt:lpwstr>
  </property>
</Properties>
</file>