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jc w:val="center"/>
        <w:textAlignment w:val="auto"/>
        <w:outlineLvl w:val="0"/>
        <w:rPr>
          <w:rFonts w:hint="eastAsia" w:ascii="宋体" w:hAnsi="宋体" w:eastAsia="宋体" w:cs="宋体"/>
          <w:b/>
          <w:sz w:val="30"/>
          <w:szCs w:val="30"/>
          <w:lang w:val="en-US" w:eastAsia="zh-CN"/>
        </w:rPr>
      </w:pPr>
      <w:bookmarkStart w:id="0" w:name="_Toc26940"/>
      <w:r>
        <w:rPr>
          <w:rFonts w:hint="eastAsia" w:ascii="宋体" w:hAnsi="宋体" w:eastAsia="宋体" w:cs="宋体"/>
          <w:b/>
          <w:sz w:val="30"/>
          <w:szCs w:val="30"/>
          <w:lang w:val="en-US" w:eastAsia="zh-CN"/>
        </w:rPr>
        <w:t>研究生培养计划系统操作流程说明</w:t>
      </w:r>
      <w:bookmarkEnd w:id="0"/>
    </w:p>
    <w:sdt>
      <w:sdtPr>
        <w:rPr>
          <w:rFonts w:ascii="宋体" w:hAnsi="宋体" w:eastAsia="宋体" w:cstheme="minorBidi"/>
          <w:b/>
          <w:bCs/>
          <w:kern w:val="2"/>
          <w:sz w:val="28"/>
          <w:szCs w:val="28"/>
          <w:lang w:val="en-US" w:eastAsia="zh-CN" w:bidi="ar-SA"/>
        </w:rPr>
        <w:id w:val="147475565"/>
        <w15:color w:val="DBDBDB"/>
        <w:docPartObj>
          <w:docPartGallery w:val="Table of Contents"/>
          <w:docPartUnique/>
        </w:docPartObj>
      </w:sdtPr>
      <w:sdtEndPr>
        <w:rPr>
          <w:rFonts w:hint="default" w:ascii="宋体" w:hAnsi="宋体" w:eastAsia="宋体" w:cs="宋体"/>
          <w:b/>
          <w:bCs/>
          <w:kern w:val="2"/>
          <w:sz w:val="21"/>
          <w:szCs w:val="30"/>
          <w:lang w:val="en-US" w:eastAsia="zh-CN" w:bidi="ar-SA"/>
        </w:rPr>
      </w:sdtEndPr>
      <w:sdtContent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  <w:rPr>
              <w:rFonts w:ascii="宋体" w:hAnsi="宋体" w:eastAsia="宋体" w:cstheme="minorBidi"/>
              <w:b/>
              <w:bCs/>
              <w:kern w:val="2"/>
              <w:sz w:val="28"/>
              <w:szCs w:val="28"/>
              <w:lang w:val="en-US" w:eastAsia="zh-CN" w:bidi="ar-SA"/>
            </w:rPr>
          </w:pPr>
        </w:p>
        <w:p>
          <w:pPr>
            <w:spacing w:before="0" w:beforeLines="0" w:after="0" w:afterLines="0" w:line="240" w:lineRule="auto"/>
            <w:ind w:left="0" w:leftChars="0" w:right="0" w:rightChars="0" w:firstLine="0" w:firstLineChars="0"/>
            <w:jc w:val="center"/>
          </w:pPr>
          <w:r>
            <w:rPr>
              <w:rFonts w:ascii="宋体" w:hAnsi="宋体" w:eastAsia="宋体"/>
              <w:b/>
              <w:bCs/>
              <w:sz w:val="28"/>
              <w:szCs w:val="28"/>
            </w:rPr>
            <w:t>目</w:t>
          </w:r>
          <w:r>
            <w:rPr>
              <w:rFonts w:hint="eastAsia" w:ascii="宋体" w:hAnsi="宋体" w:eastAsia="宋体"/>
              <w:b/>
              <w:bCs/>
              <w:sz w:val="28"/>
              <w:szCs w:val="28"/>
              <w:lang w:val="en-US" w:eastAsia="zh-CN"/>
            </w:rPr>
            <w:t xml:space="preserve">    </w:t>
          </w:r>
          <w:r>
            <w:rPr>
              <w:rFonts w:ascii="宋体" w:hAnsi="宋体" w:eastAsia="宋体"/>
              <w:b/>
              <w:bCs/>
              <w:sz w:val="28"/>
              <w:szCs w:val="28"/>
            </w:rPr>
            <w:t>录</w:t>
          </w:r>
          <w:r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  <w:instrText xml:space="preserve">TOC \o "1-1" \h \u </w:instrText>
          </w:r>
          <w:r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  <w:fldChar w:fldCharType="separate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_Toc23687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一、 制定依据</w:t>
          </w:r>
          <w:r>
            <w:tab/>
          </w:r>
          <w:r>
            <w:fldChar w:fldCharType="begin"/>
          </w:r>
          <w:r>
            <w:instrText xml:space="preserve"> PAGEREF _Toc23687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_Toc31088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/>
              <w:lang w:val="en-US" w:eastAsia="zh-CN"/>
            </w:rPr>
            <w:t>二、 制定流程</w:t>
          </w:r>
          <w:r>
            <w:tab/>
          </w:r>
          <w:r>
            <w:fldChar w:fldCharType="begin"/>
          </w:r>
          <w:r>
            <w:instrText xml:space="preserve"> PAGEREF _Toc31088 \h </w:instrText>
          </w:r>
          <w:r>
            <w:fldChar w:fldCharType="separate"/>
          </w:r>
          <w:r>
            <w:t>2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_Toc1478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三、 学生端系统操作流程</w:t>
          </w:r>
          <w:r>
            <w:tab/>
          </w:r>
          <w:r>
            <w:fldChar w:fldCharType="begin"/>
          </w:r>
          <w:r>
            <w:instrText xml:space="preserve"> PAGEREF _Toc1478 \h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_Toc8520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四、 导师端系统操作流程</w:t>
          </w:r>
          <w:r>
            <w:tab/>
          </w:r>
          <w:r>
            <w:fldChar w:fldCharType="begin"/>
          </w:r>
          <w:r>
            <w:instrText xml:space="preserve"> PAGEREF _Toc8520 \h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pStyle w:val="7"/>
            <w:tabs>
              <w:tab w:val="right" w:leader="dot" w:pos="8306"/>
            </w:tabs>
            <w:spacing w:line="360" w:lineRule="auto"/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begin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instrText xml:space="preserve"> HYPERLINK \l _Toc4134 </w:instrText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separate"/>
          </w:r>
          <w:r>
            <w:rPr>
              <w:rFonts w:hint="eastAsia" w:ascii="Arial" w:hAnsi="Arial"/>
              <w:lang w:val="en-US" w:eastAsia="zh-CN"/>
            </w:rPr>
            <w:t>五、 学院端系统使用说明</w:t>
          </w:r>
          <w:r>
            <w:tab/>
          </w:r>
          <w:r>
            <w:fldChar w:fldCharType="begin"/>
          </w:r>
          <w:r>
            <w:instrText xml:space="preserve"> PAGEREF _Toc4134 \h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  <w:p>
          <w:pPr>
            <w:keepNext w:val="0"/>
            <w:keepLines w:val="0"/>
            <w:pageBreakBefore w:val="0"/>
            <w:widowControl w:val="0"/>
            <w:kinsoku/>
            <w:wordWrap/>
            <w:overflowPunct/>
            <w:topLinePunct w:val="0"/>
            <w:autoSpaceDE/>
            <w:autoSpaceDN/>
            <w:bidi w:val="0"/>
            <w:adjustRightInd/>
            <w:snapToGrid/>
            <w:spacing w:line="360" w:lineRule="auto"/>
            <w:ind w:firstLine="0" w:firstLineChars="0"/>
            <w:jc w:val="center"/>
            <w:textAlignment w:val="auto"/>
            <w:rPr>
              <w:rFonts w:hint="default" w:ascii="宋体" w:hAnsi="宋体" w:eastAsia="宋体" w:cs="宋体"/>
              <w:b/>
              <w:sz w:val="30"/>
              <w:szCs w:val="30"/>
              <w:lang w:val="en-US" w:eastAsia="zh-CN"/>
            </w:rPr>
          </w:pPr>
          <w:r>
            <w:rPr>
              <w:rFonts w:hint="default" w:ascii="宋体" w:hAnsi="宋体" w:eastAsia="宋体" w:cs="宋体"/>
              <w:szCs w:val="30"/>
              <w:lang w:val="en-US" w:eastAsia="zh-CN"/>
            </w:rPr>
            <w:fldChar w:fldCharType="end"/>
          </w:r>
        </w:p>
      </w:sdtContent>
    </w:sdt>
    <w:p>
      <w:pPr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br w:type="page"/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研究生培养计划是研究生必修环节之一，也是研究生教学管理、质量监督的依据。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研究培养计划由课程学习计划和论文研究计划两部分组成。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1" w:name="_Toc23687"/>
      <w:r>
        <w:rPr>
          <w:rFonts w:hint="eastAsia" w:ascii="Arial" w:hAnsi="Arial"/>
          <w:b/>
          <w:lang w:val="en-US" w:eastAsia="zh-CN"/>
        </w:rPr>
        <w:t>制定依据</w:t>
      </w:r>
      <w:bookmarkEnd w:id="1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</w:rPr>
      </w:pPr>
      <w:r>
        <w:rPr>
          <w:rFonts w:hint="eastAsia" w:ascii="宋体" w:hAnsi="宋体" w:eastAsia="宋体" w:cs="宋体"/>
          <w:sz w:val="24"/>
          <w:szCs w:val="24"/>
        </w:rPr>
        <w:t>研究生培养计划应在导师（组）指导下，根据相应学科/专业类型/领域研究生培养方案，同时结合研究生个人特点制定。</w:t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/>
          <w:lang w:val="en-US" w:eastAsia="zh-CN"/>
        </w:rPr>
      </w:pPr>
      <w:bookmarkStart w:id="2" w:name="_Toc31088"/>
      <w:r>
        <w:rPr>
          <w:rFonts w:hint="eastAsia"/>
          <w:lang w:val="en-US" w:eastAsia="zh-CN"/>
        </w:rPr>
        <w:t>制定流程</w:t>
      </w:r>
      <w:bookmarkEnd w:id="2"/>
    </w:p>
    <w:p>
      <w:pPr>
        <w:numPr>
          <w:ilvl w:val="0"/>
          <w:numId w:val="0"/>
        </w:numPr>
        <w:spacing w:line="360" w:lineRule="auto"/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drawing>
          <wp:inline distT="0" distB="0" distL="114300" distR="114300">
            <wp:extent cx="4231640" cy="4936490"/>
            <wp:effectExtent l="0" t="0" r="16510" b="16510"/>
            <wp:docPr id="5" name="图片 5" descr="培养计划流程说明_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培养计划流程说明_01"/>
                    <pic:cNvPicPr>
                      <a:picLocks noChangeAspect="1"/>
                    </pic:cNvPicPr>
                  </pic:nvPicPr>
                  <pic:blipFill>
                    <a:blip r:embed="rId4"/>
                    <a:srcRect r="8404" b="10890"/>
                    <a:stretch>
                      <a:fillRect/>
                    </a:stretch>
                  </pic:blipFill>
                  <pic:spPr>
                    <a:xfrm>
                      <a:off x="0" y="0"/>
                      <a:ext cx="4231640" cy="493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3" w:name="_Toc1478"/>
      <w:r>
        <w:rPr>
          <w:rFonts w:hint="eastAsia" w:ascii="Arial" w:hAnsi="Arial"/>
          <w:b/>
          <w:lang w:val="en-US" w:eastAsia="zh-CN"/>
        </w:rPr>
        <w:t>学生端系统操作流程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</w:rPr>
        <w:t>1、研究生登陆个人研究生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教育教学</w:t>
      </w:r>
      <w:r>
        <w:rPr>
          <w:rFonts w:hint="eastAsia" w:ascii="宋体" w:hAnsi="宋体" w:eastAsia="宋体" w:cs="宋体"/>
          <w:sz w:val="24"/>
          <w:szCs w:val="24"/>
        </w:rPr>
        <w:t>管理信息系统，选择“培养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管理</w:t>
      </w:r>
      <w:r>
        <w:rPr>
          <w:rFonts w:hint="eastAsia" w:ascii="宋体" w:hAnsi="宋体" w:eastAsia="宋体" w:cs="宋体"/>
          <w:sz w:val="24"/>
          <w:szCs w:val="24"/>
        </w:rPr>
        <w:t>”下的“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课程学习计划</w:t>
      </w:r>
      <w:r>
        <w:rPr>
          <w:rFonts w:hint="eastAsia" w:ascii="宋体" w:hAnsi="宋体" w:eastAsia="宋体" w:cs="宋体"/>
          <w:sz w:val="24"/>
          <w:szCs w:val="24"/>
        </w:rPr>
        <w:t>”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或者“论文研究计划”进行制定</w:t>
      </w:r>
      <w:r>
        <w:rPr>
          <w:rFonts w:hint="eastAsia" w:ascii="宋体" w:hAnsi="宋体" w:eastAsia="宋体" w:cs="宋体"/>
          <w:sz w:val="24"/>
          <w:szCs w:val="24"/>
        </w:rPr>
        <w:t>，如下图1</w:t>
      </w:r>
      <w:r>
        <w:rPr>
          <w:rFonts w:hint="eastAsia" w:ascii="宋体" w:hAnsi="宋体" w:eastAsia="宋体" w:cs="宋体"/>
          <w:sz w:val="24"/>
          <w:szCs w:val="24"/>
          <w:lang w:eastAsia="zh-CN"/>
        </w:rPr>
        <w:t>。</w:t>
      </w: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3515" cy="2565400"/>
            <wp:effectExtent l="0" t="0" r="13335" b="635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5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1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菜单栏选项</w:t>
      </w:r>
    </w:p>
    <w:p>
      <w:pPr>
        <w:keepNext w:val="0"/>
        <w:keepLines w:val="0"/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制定课程学习计划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</w:t>
      </w:r>
      <w:r>
        <w:rPr>
          <w:rFonts w:hint="eastAsia" w:ascii="宋体" w:hAnsi="宋体" w:eastAsia="宋体" w:cs="宋体"/>
          <w:sz w:val="24"/>
          <w:szCs w:val="24"/>
          <w:highlight w:val="yellow"/>
          <w:lang w:val="en-US" w:eastAsia="zh-CN"/>
        </w:rPr>
        <w:t>制定计划前，务必先选择好自己的培养方向，否则培养方案无法对应，见图2。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对照相应学科/专业类型/领域研究生培养方案，研究生与导师共同协商，勾选列入计划内的相应课程，若想选择未在列表内的其他选修课，可点击右上角“添加计划外选修课”进行添加，确认无误后，点击“保存”方可进行选课。如下图3。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</w:pPr>
      <w:r>
        <w:drawing>
          <wp:inline distT="0" distB="0" distL="114300" distR="114300">
            <wp:extent cx="5259705" cy="2094865"/>
            <wp:effectExtent l="0" t="0" r="17145" b="63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59705" cy="20948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选择培养方向</w:t>
      </w:r>
    </w:p>
    <w:p>
      <w:pPr>
        <w:keepNext w:val="0"/>
        <w:keepLines w:val="0"/>
        <w:pageBreakBefore w:val="0"/>
        <w:widowControl w:val="0"/>
        <w:numPr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/>
          <w:lang w:val="en-US" w:eastAsia="zh-CN"/>
        </w:rPr>
      </w:pPr>
    </w:p>
    <w:p>
      <w:pPr>
        <w:spacing w:line="360" w:lineRule="auto"/>
        <w:rPr>
          <w:rFonts w:hint="eastAsia" w:ascii="宋体" w:hAnsi="宋体" w:eastAsia="宋体" w:cs="宋体"/>
          <w:sz w:val="24"/>
          <w:szCs w:val="24"/>
        </w:rPr>
      </w:pPr>
      <w:r>
        <w:drawing>
          <wp:inline distT="0" distB="0" distL="114300" distR="114300">
            <wp:extent cx="5261610" cy="2509520"/>
            <wp:effectExtent l="0" t="0" r="15240" b="50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1610" cy="2509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3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制定课程学习计划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课程计划提交后，若导师尚未审核则可撤回提交进行修改；如若导师已审核，则研究生不能撤回修改（如图4），需导师端撤销提交后，学生端方可操作修改。课程计划完成后，请提醒导师及时登陆个人系统完成网上审核，并随时关注导师审核情况。如导师审核通过，则可继续论文计划的网上填写；若导师审核不通过，则需根据导师的意见重新修改课程计划并提交，直至审核通过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9865" cy="2545715"/>
            <wp:effectExtent l="0" t="0" r="6985" b="698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45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4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提交后无法修改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2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bCs/>
          <w:sz w:val="24"/>
          <w:szCs w:val="24"/>
          <w:lang w:val="en-US" w:eastAsia="zh-CN"/>
        </w:rPr>
        <w:t>3、制定论文研究计划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。在研究生进行开题论证之前须填写论文研究计划，若无需再修改，点击“提交”（图5），然后提醒导师及时登陆个人系统完成网上审核，并随时关注导师审核结果。</w:t>
      </w:r>
    </w:p>
    <w:p>
      <w:pPr>
        <w:numPr>
          <w:ilvl w:val="0"/>
          <w:numId w:val="0"/>
        </w:numPr>
        <w:spacing w:line="360" w:lineRule="auto"/>
      </w:pPr>
      <w:r>
        <w:drawing>
          <wp:inline distT="0" distB="0" distL="114300" distR="114300">
            <wp:extent cx="5263515" cy="2565400"/>
            <wp:effectExtent l="0" t="0" r="13335" b="6350"/>
            <wp:docPr id="12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5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制定论文研究计划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论文研究计划一旦提交后，研究生不能自行修改。如欲修改，需导师端驳回提交后，学生端方可操作修改。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default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4、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研究生可在“培养计划查询”处查看保存或提交后的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培养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计划</w:t>
      </w: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，如图6</w:t>
      </w:r>
      <w:r>
        <w:rPr>
          <w:rFonts w:hint="default" w:ascii="宋体" w:hAnsi="宋体" w:eastAsia="宋体" w:cs="宋体"/>
          <w:sz w:val="24"/>
          <w:szCs w:val="24"/>
          <w:lang w:val="en-US" w:eastAsia="zh-CN"/>
        </w:rPr>
        <w:t>。</w:t>
      </w:r>
    </w:p>
    <w:p>
      <w:pPr>
        <w:numPr>
          <w:ilvl w:val="0"/>
          <w:numId w:val="0"/>
        </w:numPr>
        <w:spacing w:line="360" w:lineRule="auto"/>
        <w:ind w:leftChars="0"/>
      </w:pPr>
      <w:r>
        <w:drawing>
          <wp:inline distT="0" distB="0" distL="114300" distR="114300">
            <wp:extent cx="5263515" cy="2565400"/>
            <wp:effectExtent l="0" t="0" r="13335" b="6350"/>
            <wp:docPr id="13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2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6</w:t>
      </w:r>
      <w:bookmarkStart w:id="6" w:name="_GoBack"/>
      <w:bookmarkEnd w:id="6"/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培养计划查询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培养计划网上填写过程中如遇到其他问题，请及时咨询学院秘书或研究生院培养办。</w:t>
      </w:r>
    </w:p>
    <w:p>
      <w:pPr>
        <w:spacing w:line="360" w:lineRule="auto"/>
        <w:jc w:val="center"/>
        <w:rPr>
          <w:rFonts w:hint="eastAsia" w:eastAsia="黑体"/>
          <w:sz w:val="18"/>
          <w:lang w:val="en-US" w:eastAsia="zh-CN"/>
        </w:rPr>
      </w:pPr>
    </w:p>
    <w:p>
      <w:pPr>
        <w:rPr>
          <w:rFonts w:hint="eastAsia" w:eastAsia="黑体"/>
          <w:sz w:val="18"/>
          <w:lang w:val="en-US" w:eastAsia="zh-CN"/>
        </w:rPr>
      </w:pPr>
      <w:r>
        <w:rPr>
          <w:rFonts w:hint="eastAsia" w:eastAsia="黑体"/>
          <w:sz w:val="18"/>
          <w:lang w:val="en-US" w:eastAsia="zh-CN"/>
        </w:rPr>
        <w:br w:type="page"/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4" w:name="_Toc8520"/>
      <w:r>
        <w:rPr>
          <w:rFonts w:hint="eastAsia" w:ascii="Arial" w:hAnsi="Arial"/>
          <w:b/>
          <w:lang w:val="en-US" w:eastAsia="zh-CN"/>
        </w:rPr>
        <w:t>导师端系统操作流程</w:t>
      </w:r>
      <w:bookmarkEnd w:id="4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导师进入研究生教育教学管理信息系统，选择“教师组”身份（图1），点击“学生培养管理”下的“课程学习计划审核”或“论文研究计划审核”进行培养计划审查管理，如下图2。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63515" cy="2565400"/>
            <wp:effectExtent l="0" t="0" r="13335" b="6350"/>
            <wp:docPr id="19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</w:rPr>
      </w:pPr>
      <w:r>
        <w:rPr>
          <w:rFonts w:hint="eastAsia" w:eastAsia="黑体"/>
          <w:sz w:val="18"/>
        </w:rPr>
        <w:t xml:space="preserve">图1 </w:t>
      </w:r>
      <w:r>
        <w:rPr>
          <w:rFonts w:hint="eastAsia" w:eastAsia="黑体"/>
          <w:sz w:val="18"/>
          <w:lang w:val="en-US" w:eastAsia="zh-CN"/>
        </w:rPr>
        <w:t>身份切换</w:t>
      </w: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565400"/>
            <wp:effectExtent l="0" t="0" r="13335" b="6350"/>
            <wp:docPr id="20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1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菜单选项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1. 课程学习计划审核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导师根据研究生培养方案对学生的课程进行审核，可筛选出“已提交（未审核）”的学生（图3），点击对应学生后面的“审核”进入审核页面（图4）。如审查不通过，可直接“撤销提交”，及时提醒学生登录个人系统对计划进行修改至审查通过为止。</w:t>
      </w:r>
    </w:p>
    <w:p>
      <w:pPr>
        <w:spacing w:line="360" w:lineRule="auto"/>
        <w:ind w:firstLine="420" w:firstLineChars="200"/>
        <w:rPr>
          <w:rFonts w:hint="default" w:eastAsiaTheme="minorEastAsia"/>
          <w:lang w:val="en-US" w:eastAsia="zh-CN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565400"/>
            <wp:effectExtent l="0" t="0" r="13335" b="6350"/>
            <wp:docPr id="21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2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3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筛选审核状态</w:t>
      </w:r>
    </w:p>
    <w:p>
      <w:pPr>
        <w:spacing w:line="360" w:lineRule="auto"/>
        <w:jc w:val="center"/>
        <w:rPr>
          <w:rFonts w:hint="eastAsia"/>
        </w:rPr>
      </w:pPr>
      <w:r>
        <w:drawing>
          <wp:inline distT="0" distB="0" distL="114300" distR="114300">
            <wp:extent cx="5263515" cy="2565400"/>
            <wp:effectExtent l="0" t="0" r="13335" b="6350"/>
            <wp:docPr id="22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4</w:t>
      </w:r>
      <w:r>
        <w:rPr>
          <w:rFonts w:hint="eastAsia" w:eastAsia="黑体"/>
          <w:sz w:val="18"/>
        </w:rPr>
        <w:t xml:space="preserve"> 课程</w:t>
      </w:r>
      <w:r>
        <w:rPr>
          <w:rFonts w:hint="eastAsia" w:eastAsia="黑体"/>
          <w:sz w:val="18"/>
          <w:lang w:val="en-US" w:eastAsia="zh-CN"/>
        </w:rPr>
        <w:t>学习</w:t>
      </w:r>
      <w:r>
        <w:rPr>
          <w:rFonts w:hint="eastAsia" w:eastAsia="黑体"/>
          <w:sz w:val="18"/>
        </w:rPr>
        <w:t>计划审核</w:t>
      </w:r>
    </w:p>
    <w:p>
      <w:pPr>
        <w:spacing w:line="360" w:lineRule="auto"/>
        <w:rPr>
          <w:rFonts w:hint="eastAsia" w:ascii="宋体" w:hAnsi="宋体" w:eastAsia="宋体" w:cs="宋体"/>
          <w:b/>
          <w:sz w:val="24"/>
          <w:szCs w:val="24"/>
          <w:lang w:eastAsia="zh-CN"/>
        </w:rPr>
      </w:pP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2</w:t>
      </w:r>
      <w:r>
        <w:rPr>
          <w:rFonts w:hint="eastAsia" w:ascii="宋体" w:hAnsi="宋体" w:eastAsia="宋体" w:cs="宋体"/>
          <w:b/>
          <w:sz w:val="24"/>
          <w:szCs w:val="24"/>
        </w:rPr>
        <w:t>. 论文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研究</w:t>
      </w:r>
      <w:r>
        <w:rPr>
          <w:rFonts w:hint="eastAsia" w:ascii="宋体" w:hAnsi="宋体" w:eastAsia="宋体" w:cs="宋体"/>
          <w:b/>
          <w:sz w:val="24"/>
          <w:szCs w:val="24"/>
        </w:rPr>
        <w:t>计划审</w:t>
      </w:r>
      <w:r>
        <w:rPr>
          <w:rFonts w:hint="eastAsia" w:ascii="宋体" w:hAnsi="宋体" w:eastAsia="宋体" w:cs="宋体"/>
          <w:b/>
          <w:sz w:val="24"/>
          <w:szCs w:val="24"/>
          <w:lang w:val="en-US" w:eastAsia="zh-CN"/>
        </w:rPr>
        <w:t>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筛选出“已提交（未审核）”的学生（图5），点击对应学生后面的“审核”进入审核页面（图6）。如审查不通过，可点击“驳回重新提交”，并及时提醒学生登录个人系统对计划进行修改至审查通过为止。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25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5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筛选审核状态</w:t>
      </w:r>
    </w:p>
    <w:p>
      <w:pPr>
        <w:spacing w:line="360" w:lineRule="auto"/>
        <w:ind w:firstLine="420" w:firstLineChars="200"/>
        <w:rPr>
          <w:rFonts w:hint="eastAsia"/>
        </w:rPr>
      </w:pPr>
    </w:p>
    <w:p>
      <w:pPr>
        <w:spacing w:line="360" w:lineRule="auto"/>
        <w:jc w:val="center"/>
      </w:pPr>
      <w:r>
        <w:drawing>
          <wp:inline distT="0" distB="0" distL="114300" distR="114300">
            <wp:extent cx="5263515" cy="2565400"/>
            <wp:effectExtent l="0" t="0" r="13335" b="6350"/>
            <wp:docPr id="24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图片 2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eastAsia" w:eastAsia="黑体"/>
          <w:sz w:val="18"/>
          <w:lang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6</w:t>
      </w:r>
      <w:r>
        <w:rPr>
          <w:rFonts w:hint="eastAsia" w:eastAsia="黑体"/>
          <w:sz w:val="18"/>
        </w:rPr>
        <w:t xml:space="preserve"> 论文</w:t>
      </w:r>
      <w:r>
        <w:rPr>
          <w:rFonts w:hint="eastAsia" w:eastAsia="黑体"/>
          <w:sz w:val="18"/>
          <w:lang w:val="en-US" w:eastAsia="zh-CN"/>
        </w:rPr>
        <w:t>研究</w:t>
      </w:r>
      <w:r>
        <w:rPr>
          <w:rFonts w:hint="eastAsia" w:eastAsia="黑体"/>
          <w:sz w:val="18"/>
        </w:rPr>
        <w:t>计划</w:t>
      </w:r>
      <w:r>
        <w:rPr>
          <w:rFonts w:hint="eastAsia" w:eastAsia="黑体"/>
          <w:sz w:val="18"/>
          <w:lang w:val="en-US" w:eastAsia="zh-CN"/>
        </w:rPr>
        <w:t>审核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若审核时遇到其他问题，请及时咨询学院秘书或研究生院培养办。</w:t>
      </w:r>
    </w:p>
    <w:p>
      <w:pPr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br w:type="page"/>
      </w:r>
    </w:p>
    <w:p>
      <w:pPr>
        <w:pStyle w:val="3"/>
        <w:numPr>
          <w:ilvl w:val="0"/>
          <w:numId w:val="1"/>
        </w:numPr>
        <w:bidi w:val="0"/>
        <w:outlineLvl w:val="0"/>
        <w:rPr>
          <w:rFonts w:hint="eastAsia" w:ascii="Arial" w:hAnsi="Arial"/>
          <w:b/>
          <w:lang w:val="en-US" w:eastAsia="zh-CN"/>
        </w:rPr>
      </w:pPr>
      <w:bookmarkStart w:id="5" w:name="_Toc4134"/>
      <w:r>
        <w:rPr>
          <w:rFonts w:hint="eastAsia" w:ascii="Arial" w:hAnsi="Arial"/>
          <w:b/>
          <w:lang w:val="en-US" w:eastAsia="zh-CN"/>
        </w:rPr>
        <w:t>学院端系统使用说明</w:t>
      </w:r>
      <w:bookmarkEnd w:id="5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学院管理人员进入研究生教育教学管理信息系统，选择“培养”下的“培养计划管理”，在“课程学习计划审核”、“论文研究计划审核”中，可查看学生计划的提交和审核情况，审核状态为“导师审核”则说明导师审核已通过。在“学生培养计划查询”、“培养计划完成情况”中，可及时跟进查看学生计划状态如图1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26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1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菜单选项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若学生欲修改已提交的培养计划，学院研究生秘书可进入该生的审核页面“撤销提交”，或在与学生导师沟通后，在“学生培养计划修改”处进行手动修改。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0" w:firstLineChars="0"/>
        <w:textAlignment w:val="auto"/>
      </w:pPr>
      <w:r>
        <w:drawing>
          <wp:inline distT="0" distB="0" distL="114300" distR="114300">
            <wp:extent cx="5263515" cy="2565400"/>
            <wp:effectExtent l="0" t="0" r="13335" b="6350"/>
            <wp:docPr id="28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7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63515" cy="256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spacing w:line="360" w:lineRule="auto"/>
        <w:jc w:val="center"/>
        <w:rPr>
          <w:rFonts w:hint="default" w:eastAsia="黑体"/>
          <w:sz w:val="18"/>
          <w:lang w:val="en-US" w:eastAsia="zh-CN"/>
        </w:rPr>
      </w:pPr>
      <w:r>
        <w:rPr>
          <w:rFonts w:hint="eastAsia" w:eastAsia="黑体"/>
          <w:sz w:val="18"/>
        </w:rPr>
        <w:t>图</w:t>
      </w:r>
      <w:r>
        <w:rPr>
          <w:rFonts w:hint="eastAsia" w:eastAsia="黑体"/>
          <w:sz w:val="18"/>
          <w:lang w:val="en-US" w:eastAsia="zh-CN"/>
        </w:rPr>
        <w:t>2</w:t>
      </w:r>
      <w:r>
        <w:rPr>
          <w:rFonts w:hint="eastAsia" w:eastAsia="黑体"/>
          <w:sz w:val="18"/>
        </w:rPr>
        <w:t xml:space="preserve"> </w:t>
      </w:r>
      <w:r>
        <w:rPr>
          <w:rFonts w:hint="eastAsia" w:eastAsia="黑体"/>
          <w:sz w:val="18"/>
          <w:lang w:val="en-US" w:eastAsia="zh-CN"/>
        </w:rPr>
        <w:t>撤回提交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80" w:firstLineChars="200"/>
        <w:textAlignment w:val="auto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若遇到其他问题，请及时与研究生院培养办相关负责人联系。</w:t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楷体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0CE4DE1"/>
    <w:multiLevelType w:val="singleLevel"/>
    <w:tmpl w:val="10CE4DE1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261814B6"/>
    <w:multiLevelType w:val="singleLevel"/>
    <w:tmpl w:val="261814B6"/>
    <w:lvl w:ilvl="0" w:tentative="0">
      <w:start w:val="2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7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ThjNmQ3OTg4ZDBiZTNmZWI3ZDlmOGM4MDA3ZDE3YjIifQ=="/>
  </w:docVars>
  <w:rsids>
    <w:rsidRoot w:val="1D867B5B"/>
    <w:rsid w:val="000A65FA"/>
    <w:rsid w:val="1B3A50D1"/>
    <w:rsid w:val="1D867B5B"/>
    <w:rsid w:val="4F3D15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b/>
      <w:kern w:val="44"/>
      <w:sz w:val="44"/>
    </w:rPr>
  </w:style>
  <w:style w:type="paragraph" w:styleId="3">
    <w:name w:val="heading 2"/>
    <w:basedOn w:val="1"/>
    <w:next w:val="1"/>
    <w:unhideWhenUsed/>
    <w:qFormat/>
    <w:uiPriority w:val="0"/>
    <w:pPr>
      <w:keepNext/>
      <w:keepLines/>
      <w:spacing w:beforeLines="0" w:beforeAutospacing="0" w:afterLines="0" w:afterAutospacing="0" w:line="360" w:lineRule="auto"/>
      <w:outlineLvl w:val="1"/>
    </w:pPr>
    <w:rPr>
      <w:rFonts w:ascii="Arial" w:hAnsi="Arial" w:eastAsia="宋体"/>
      <w:b/>
      <w:sz w:val="28"/>
    </w:rPr>
  </w:style>
  <w:style w:type="character" w:default="1" w:styleId="6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Normal (Web)"/>
    <w:basedOn w:val="1"/>
    <w:qFormat/>
    <w:uiPriority w:val="0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customStyle="1" w:styleId="7">
    <w:name w:val="WPSOffice手动目录 1"/>
    <w:qFormat/>
    <w:uiPriority w:val="0"/>
    <w:pPr>
      <w:ind w:leftChars="0"/>
    </w:pPr>
    <w:rPr>
      <w:rFonts w:ascii="Times New Roman" w:hAnsi="Times New Roman" w:eastAsia="宋体" w:cs="Times New Roman"/>
      <w:sz w:val="24"/>
      <w:szCs w:val="20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0" Type="http://schemas.openxmlformats.org/officeDocument/2006/relationships/fontTable" Target="fontTable.xml"/><Relationship Id="rId2" Type="http://schemas.openxmlformats.org/officeDocument/2006/relationships/settings" Target="settings.xml"/><Relationship Id="rId19" Type="http://schemas.openxmlformats.org/officeDocument/2006/relationships/numbering" Target="numbering.xml"/><Relationship Id="rId18" Type="http://schemas.openxmlformats.org/officeDocument/2006/relationships/image" Target="media/image15.pn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8</Pages>
  <Words>1369</Words>
  <Characters>1371</Characters>
  <Lines>0</Lines>
  <Paragraphs>0</Paragraphs>
  <TotalTime>4</TotalTime>
  <ScaleCrop>false</ScaleCrop>
  <LinksUpToDate>false</LinksUpToDate>
  <CharactersWithSpaces>1386</CharactersWithSpaces>
  <Application>WPS Office_12.1.0.15712_F1E327BC-269C-435d-A152-05C5408002CA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2023-09-03T06:08:00Z</dcterms:created>
  <dc:creator>刘志家</dc:creator>
  <cp:lastModifiedBy>刘志家</cp:lastModifiedBy>
  <dcterms:modified xsi:type="dcterms:W3CDTF">2024-09-02T07:39:47Z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2052-12.1.0.15712</vt:lpwstr>
  </property>
  <property fmtid="{D5CDD505-2E9C-101B-9397-08002B2CF9AE}" pid="3" name="ICV">
    <vt:lpwstr>20B5D291BFE145C3885EEBEF26E1CA73</vt:lpwstr>
  </property>
</Properties>
</file>