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附件一：</w:t>
      </w:r>
    </w:p>
    <w:p>
      <w:pPr>
        <w:jc w:val="center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北京林业大学第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二十三</w:t>
      </w:r>
      <w:r>
        <w:rPr>
          <w:rFonts w:hint="eastAsia" w:ascii="仿宋_GB2312" w:hAnsi="宋体" w:eastAsia="仿宋_GB2312" w:cs="宋体"/>
          <w:b/>
          <w:sz w:val="32"/>
          <w:szCs w:val="32"/>
        </w:rPr>
        <w:t>届研究生学术文化节</w:t>
      </w:r>
    </w:p>
    <w:p>
      <w:pPr>
        <w:jc w:val="center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“优秀组织奖”评分细则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北京林业大学研究生学生工作部将秉承</w:t>
      </w:r>
      <w:r>
        <w:rPr>
          <w:rFonts w:ascii="仿宋_GB2312" w:hAnsi="宋体" w:eastAsia="仿宋_GB2312" w:cs="宋体"/>
          <w:sz w:val="32"/>
          <w:szCs w:val="32"/>
        </w:rPr>
        <w:t>“</w:t>
      </w:r>
      <w:r>
        <w:rPr>
          <w:rFonts w:hint="eastAsia" w:ascii="仿宋_GB2312" w:hAnsi="宋体" w:eastAsia="仿宋_GB2312" w:cs="宋体"/>
          <w:sz w:val="32"/>
          <w:szCs w:val="32"/>
        </w:rPr>
        <w:t>公平，公正，公开</w:t>
      </w:r>
      <w:r>
        <w:rPr>
          <w:rFonts w:ascii="仿宋_GB2312" w:hAnsi="宋体" w:eastAsia="仿宋_GB2312" w:cs="宋体"/>
          <w:sz w:val="32"/>
          <w:szCs w:val="32"/>
        </w:rPr>
        <w:t>”</w:t>
      </w:r>
      <w:r>
        <w:rPr>
          <w:rFonts w:hint="eastAsia" w:ascii="仿宋_GB2312" w:hAnsi="宋体" w:eastAsia="仿宋_GB2312" w:cs="宋体"/>
          <w:sz w:val="32"/>
          <w:szCs w:val="32"/>
        </w:rPr>
        <w:t>的原则对文化节期间各学院研会学术文化活动进行评定，评分细则如下：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第一条：奖项设置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本次评选共评出北京林业大学第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二十三</w:t>
      </w:r>
      <w:r>
        <w:rPr>
          <w:rFonts w:hint="eastAsia" w:ascii="仿宋_GB2312" w:hAnsi="宋体" w:eastAsia="仿宋_GB2312" w:cs="宋体"/>
          <w:sz w:val="32"/>
          <w:szCs w:val="32"/>
        </w:rPr>
        <w:t>届研究生学术文化节</w:t>
      </w:r>
      <w:r>
        <w:rPr>
          <w:rFonts w:ascii="仿宋_GB2312" w:hAnsi="宋体" w:eastAsia="仿宋_GB2312" w:cs="宋体"/>
          <w:sz w:val="32"/>
          <w:szCs w:val="32"/>
        </w:rPr>
        <w:t>“</w:t>
      </w:r>
      <w:r>
        <w:rPr>
          <w:rFonts w:hint="eastAsia" w:ascii="仿宋_GB2312" w:hAnsi="宋体" w:eastAsia="仿宋_GB2312" w:cs="宋体"/>
          <w:sz w:val="32"/>
          <w:szCs w:val="32"/>
        </w:rPr>
        <w:t>优秀组织奖</w:t>
      </w:r>
      <w:r>
        <w:rPr>
          <w:rFonts w:ascii="仿宋_GB2312" w:hAnsi="宋体" w:eastAsia="仿宋_GB2312" w:cs="宋体"/>
          <w:sz w:val="32"/>
          <w:szCs w:val="32"/>
        </w:rPr>
        <w:t>”</w:t>
      </w:r>
      <w:r>
        <w:rPr>
          <w:rFonts w:hint="eastAsia" w:ascii="仿宋_GB2312" w:hAnsi="宋体" w:eastAsia="仿宋_GB2312" w:cs="宋体"/>
          <w:sz w:val="32"/>
          <w:szCs w:val="32"/>
        </w:rPr>
        <w:t>6个。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第二条：评奖程序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北京林业大学第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二十三</w:t>
      </w:r>
      <w:r>
        <w:rPr>
          <w:rFonts w:hint="eastAsia" w:ascii="仿宋_GB2312" w:hAnsi="宋体" w:eastAsia="仿宋_GB2312" w:cs="宋体"/>
          <w:sz w:val="32"/>
          <w:szCs w:val="32"/>
        </w:rPr>
        <w:t>届研究生学术文化节“优秀组织奖</w:t>
      </w:r>
      <w:r>
        <w:rPr>
          <w:rFonts w:ascii="仿宋_GB2312" w:hAnsi="宋体" w:eastAsia="仿宋_GB2312" w:cs="宋体"/>
          <w:sz w:val="32"/>
          <w:szCs w:val="32"/>
        </w:rPr>
        <w:t>”</w:t>
      </w:r>
      <w:r>
        <w:rPr>
          <w:rFonts w:hint="eastAsia" w:ascii="仿宋_GB2312" w:hAnsi="宋体" w:eastAsia="仿宋_GB2312" w:cs="宋体"/>
          <w:sz w:val="32"/>
          <w:szCs w:val="32"/>
        </w:rPr>
        <w:t>评比，分为整体计划完成情况、各活动组织开展情况、学术文化节期间外本学期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（9月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日-</w:t>
      </w:r>
      <w:r>
        <w:rPr>
          <w:rFonts w:ascii="仿宋_GB2312" w:hAnsi="宋体" w:eastAsia="仿宋_GB2312" w:cs="宋体"/>
          <w:sz w:val="32"/>
          <w:szCs w:val="32"/>
          <w:highlight w:val="none"/>
        </w:rPr>
        <w:t>1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0</w:t>
      </w:r>
      <w:r>
        <w:rPr>
          <w:rFonts w:ascii="仿宋_GB2312" w:hAnsi="宋体" w:eastAsia="仿宋_GB2312" w:cs="宋体"/>
          <w:sz w:val="32"/>
          <w:szCs w:val="32"/>
          <w:highlight w:val="none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日）</w:t>
      </w:r>
      <w:r>
        <w:rPr>
          <w:rFonts w:hint="eastAsia" w:ascii="仿宋_GB2312" w:hAnsi="宋体" w:eastAsia="仿宋_GB2312" w:cs="宋体"/>
          <w:sz w:val="32"/>
          <w:szCs w:val="32"/>
        </w:rPr>
        <w:t>举办的学术讲座和答辩会场表现情况四部分。其中整体计划完成情况占2</w:t>
      </w:r>
      <w:r>
        <w:rPr>
          <w:rFonts w:ascii="仿宋_GB2312" w:hAnsi="宋体" w:eastAsia="仿宋_GB2312" w:cs="宋体"/>
          <w:sz w:val="32"/>
          <w:szCs w:val="32"/>
        </w:rPr>
        <w:t>0%</w:t>
      </w:r>
      <w:r>
        <w:rPr>
          <w:rFonts w:hint="eastAsia" w:ascii="仿宋_GB2312" w:hAnsi="宋体" w:eastAsia="仿宋_GB2312" w:cs="宋体"/>
          <w:sz w:val="32"/>
          <w:szCs w:val="32"/>
        </w:rPr>
        <w:t>，各单项活动共占4</w:t>
      </w:r>
      <w:r>
        <w:rPr>
          <w:rFonts w:ascii="仿宋_GB2312" w:hAnsi="宋体" w:eastAsia="仿宋_GB2312" w:cs="宋体"/>
          <w:sz w:val="32"/>
          <w:szCs w:val="32"/>
        </w:rPr>
        <w:t>0%</w:t>
      </w:r>
      <w:r>
        <w:rPr>
          <w:rFonts w:hint="eastAsia" w:ascii="仿宋_GB2312" w:hAnsi="宋体" w:eastAsia="仿宋_GB2312" w:cs="宋体"/>
          <w:sz w:val="32"/>
          <w:szCs w:val="32"/>
        </w:rPr>
        <w:t>，学术文化节期间外活动占30%，答辩会现场表现占1</w:t>
      </w:r>
      <w:r>
        <w:rPr>
          <w:rFonts w:ascii="仿宋_GB2312" w:hAnsi="宋体" w:eastAsia="仿宋_GB2312" w:cs="宋体"/>
          <w:sz w:val="32"/>
          <w:szCs w:val="32"/>
        </w:rPr>
        <w:t>0%</w:t>
      </w:r>
      <w:r>
        <w:rPr>
          <w:rFonts w:hint="eastAsia" w:ascii="仿宋_GB2312" w:hAnsi="宋体" w:eastAsia="仿宋_GB2312" w:cs="宋体"/>
          <w:sz w:val="32"/>
          <w:szCs w:val="32"/>
        </w:rPr>
        <w:t>，满分100分。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.整体计划完成情况（满分100分，权重为20%）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（1）活动计划的完成情况（为研究生学术文化节期间举办的活动，如有变动，须说明理由）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要求每个学院至少举办</w:t>
      </w:r>
      <w:r>
        <w:rPr>
          <w:rFonts w:ascii="仿宋_GB2312" w:hAnsi="宋体" w:eastAsia="仿宋_GB2312" w:cs="宋体"/>
          <w:sz w:val="32"/>
          <w:szCs w:val="32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次与学术相关的活动。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完成</w:t>
      </w:r>
      <w:r>
        <w:rPr>
          <w:rFonts w:ascii="仿宋_GB2312" w:hAnsi="宋体" w:eastAsia="仿宋_GB2312" w:cs="宋体"/>
          <w:sz w:val="32"/>
          <w:szCs w:val="32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场得36分，超出的活动每场加2分，最多加4分；三场以下，每少一场减10分，扣完为止。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活动变动或替换视性质而定，规模效果相当的不予减分。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（2）新闻稿：及时发送所有活动前后期新闻稿得</w:t>
      </w:r>
      <w:r>
        <w:rPr>
          <w:rFonts w:ascii="仿宋_GB2312" w:hAnsi="宋体" w:eastAsia="仿宋_GB2312" w:cs="宋体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20分（前期稿件应该在活动举办前一天及以前发出，后期稿件应在活动举办后两天内发稿）。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每项活动未提交前期或后期新闻稿，少一篇减5分，不合格者扣2分，扣完为止。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（3）资料：提交相关资料照片视频资料得20分，不完全提交得10分，不提交者得</w:t>
      </w:r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分。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请勿直接将照片等资料粘贴在评审表中，请以邮件附件形式发送。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（4）观众组织：开幕式、学术讲坛等大型活动观众参与良好得15—20分，较少观众参加得10—15分，无观众参加得</w:t>
      </w:r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分。（此项以活动照片为证）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2</w:t>
      </w:r>
      <w:r>
        <w:rPr>
          <w:rFonts w:hint="eastAsia" w:ascii="仿宋_GB2312" w:hAnsi="宋体" w:eastAsia="仿宋_GB2312" w:cs="宋体"/>
          <w:sz w:val="32"/>
          <w:szCs w:val="32"/>
        </w:rPr>
        <w:t>.各单项活动情况（满分100分，权重为40%）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</w:t>
      </w:r>
      <w:r>
        <w:rPr>
          <w:rFonts w:ascii="仿宋_GB2312" w:hAnsi="宋体" w:eastAsia="仿宋_GB2312" w:cs="宋体"/>
          <w:sz w:val="32"/>
          <w:szCs w:val="32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）学术及就业实践讲座</w:t>
      </w:r>
      <w:r>
        <w:rPr>
          <w:rFonts w:ascii="仿宋_GB2312" w:hAnsi="宋体" w:eastAsia="仿宋_GB2312" w:cs="宋体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（本项最多加至35分）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A.讲座采用累积加分的方式，主讲人是副教授及以上级别的每场5分，副教授以下级别每场3分：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如某学院共办了5场讲座，2场主讲人是教授，1场主讲人是副教授，2场主讲人是讲师，则基本得分为5*3+3*2=21分。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B.经验交流会、学术沙龙邀请三位及以上嘉宾5分，三位以下嘉宾3分，同样采取累积加分的形式。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</w:t>
      </w:r>
      <w:r>
        <w:rPr>
          <w:rFonts w:ascii="仿宋_GB2312" w:hAnsi="宋体" w:eastAsia="仿宋_GB2312" w:cs="宋体"/>
          <w:sz w:val="32"/>
          <w:szCs w:val="32"/>
        </w:rPr>
        <w:t>2</w:t>
      </w:r>
      <w:r>
        <w:rPr>
          <w:rFonts w:hint="eastAsia" w:ascii="仿宋_GB2312" w:hAnsi="宋体" w:eastAsia="仿宋_GB2312" w:cs="宋体"/>
          <w:sz w:val="32"/>
          <w:szCs w:val="32"/>
        </w:rPr>
        <w:t>）校辩论赛（本项最多加至35分）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A</w:t>
      </w:r>
      <w:r>
        <w:rPr>
          <w:rFonts w:hint="eastAsia" w:ascii="仿宋_GB2312" w:hAnsi="宋体" w:eastAsia="仿宋_GB2312" w:cs="宋体"/>
          <w:sz w:val="32"/>
          <w:szCs w:val="32"/>
        </w:rPr>
        <w:t>.评委邀请</w:t>
      </w:r>
      <w:bookmarkStart w:id="0" w:name="OLE_LINK2"/>
      <w:bookmarkStart w:id="1" w:name="OLE_LINK1"/>
      <w:r>
        <w:rPr>
          <w:rFonts w:hint="eastAsia" w:ascii="仿宋_GB2312" w:hAnsi="宋体" w:eastAsia="仿宋_GB2312" w:cs="宋体"/>
          <w:sz w:val="32"/>
          <w:szCs w:val="32"/>
        </w:rPr>
        <w:t>：</w:t>
      </w:r>
      <w:bookmarkEnd w:id="0"/>
      <w:bookmarkEnd w:id="1"/>
      <w:r>
        <w:rPr>
          <w:rFonts w:hint="eastAsia" w:ascii="仿宋_GB2312" w:hAnsi="宋体" w:eastAsia="仿宋_GB2312" w:cs="宋体"/>
          <w:sz w:val="32"/>
          <w:szCs w:val="32"/>
        </w:rPr>
        <w:t>老师5分，校辩论队成员4分，各学院辩协辩论队成员3分（无论评委是正方邀请还是反方邀请，依据评委级别，双方都加分，一场辩论赛此项最多加5分）。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B.在截止日期前上交辩手名单及评委名单15分，不上交</w:t>
      </w:r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分。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C.在校辩论赛获得前两名的学院得15分，第3、4名得10分，第5-8名得8分，凡参加但是未得名次学院得5分，未参加校辩论赛学院得0分。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注：此项加分是在进入到校辩论赛阶段，不包括各学院选拔阶段。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</w:t>
      </w:r>
      <w:r>
        <w:rPr>
          <w:rFonts w:ascii="仿宋_GB2312" w:hAnsi="宋体" w:eastAsia="仿宋_GB2312" w:cs="宋体"/>
          <w:sz w:val="32"/>
          <w:szCs w:val="32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）研究生“学术之星”评选（本项最多加至30分）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各个学院按分配名额上报候选人数，加10分，上报候选人数不足分配名额的学院不加分。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各个候选人初评成绩经校研会核对后，上报初评成绩无误的学院加5分，初评成绩核算有误的学院不加分。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各院推选的初评候选人，全部获得北京林业大学研究生“学术之星”称号，则学院加15分，50%及以上获得“学术之星”称号的学院加8分，未获得“学术之星”称号的不加分。 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3.本学期学术讲座举办情况（满分100分，权重30%）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为营造校内学术文化活动的氛围，鼓励各学院积极参与学术活动，此次评奖活动范围将包括本学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期9月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日——1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0月31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日各院举办的学术讲座，采用累积加分的</w:t>
      </w:r>
      <w:r>
        <w:rPr>
          <w:rFonts w:hint="eastAsia" w:ascii="仿宋_GB2312" w:hAnsi="宋体" w:eastAsia="仿宋_GB2312" w:cs="宋体"/>
          <w:sz w:val="32"/>
          <w:szCs w:val="32"/>
        </w:rPr>
        <w:t>方式，每场学术讲座加10分，最多加至100分。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4.答辩会现场表现情况（满分100分，权重10%）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</w:t>
      </w:r>
      <w:r>
        <w:rPr>
          <w:rFonts w:ascii="仿宋_GB2312" w:hAnsi="宋体" w:eastAsia="仿宋_GB2312" w:cs="宋体"/>
          <w:sz w:val="32"/>
          <w:szCs w:val="32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）各答辩单位对所有举办活动讲述条理清楚，思路明确得25—30分，较清楚得20—25分，表述一般10—20分，不清楚10分以下。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（2）答辩申报内容科学详实得25—30分，较好得20—25分，一般得10—20分，较差得10分以下。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（3）答辩视频或幻灯片制作讲解生动明了得15-20分，一般得10-15分，较差得10分以下。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</w:t>
      </w:r>
      <w:r>
        <w:rPr>
          <w:rFonts w:ascii="仿宋_GB2312" w:hAnsi="宋体" w:eastAsia="仿宋_GB2312" w:cs="宋体"/>
          <w:sz w:val="32"/>
          <w:szCs w:val="32"/>
        </w:rPr>
        <w:t>4</w:t>
      </w:r>
      <w:r>
        <w:rPr>
          <w:rFonts w:hint="eastAsia" w:ascii="仿宋_GB2312" w:hAnsi="宋体" w:eastAsia="仿宋_GB2312" w:cs="宋体"/>
          <w:sz w:val="32"/>
          <w:szCs w:val="32"/>
        </w:rPr>
        <w:t>）各答辩单位答辩的临场表现较好得15—20分，一般得10—15分，不好得1</w:t>
      </w:r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分以下。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5.附加分（满分10分，权重100%）</w:t>
      </w:r>
    </w:p>
    <w:p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主题：寻找身边的学术榜样</w:t>
      </w:r>
    </w:p>
    <w:p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组织单位：研究生院  党委研究生工作部  党委宣传部</w:t>
      </w:r>
    </w:p>
    <w:p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推荐对象：我校全日制博士、硕士研究生个人或研究生团队</w:t>
      </w:r>
    </w:p>
    <w:p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推荐标准：所推荐的研究生个人或团体应具有良好的政治素质和道德修养，崇尚科学，遵纪守法，且在本学科领域获得较为突出的学术成果，得到广大师生认可，产生较大影响。具体对象包括：研究生校长奖学金、国家奖学金、学术“腾飞”奖学金、优秀研究生、学术创新奖获得者及国际、国内相关学术科技竞赛或评选活动获奖者，在本学科领域国际国内顶级期刊上发表高水平学术文章者，国家发明专利获得者或在创新创业方面取得突出成绩者。</w:t>
      </w:r>
    </w:p>
    <w:p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活动安排：</w:t>
      </w:r>
    </w:p>
    <w:p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（1）发动讨论“身边的学术榜样”。各学院、各基层班级通过班会、网络平台等形式，开展“我身边的学术榜样”大讨论，主动发现、推荐共同认可的先进典型，引导广大研究生关注、寻访身边的榜样，踊跃参与到活动中来。</w:t>
      </w:r>
    </w:p>
    <w:p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（2）寻访推荐“身边的学术榜样”。各学院采取组织推荐、群众推荐和个人推荐相结合的方式进行推选，并从中挑选符合条件、受到师生普遍关注和认可的先进集体和个人报党委研究生工作部。各学院推荐时需提供推荐理由及不少于3000字的事迹材料。</w:t>
      </w:r>
    </w:p>
    <w:p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（3）宣传展示“身边的学术榜样”。研究生院、党委研究生工作部对各学院推荐的先进典型进行筛选确定后，组织校院两级研究生会对典型进行采访，并依托研究生院网站及“北林研究生”等新媒体平台对其优秀事迹进行广泛宣传；党委宣传部对先进典型的事迹材料进行加工提炼或重新采写，刊登在绿色新闻网、《北林报》、“绿色北林”官方微信、微博“寻找身边的学术榜样”相关专栏，并在学校宣传栏进行集中展示，对特别优秀者，推荐至相关校外媒体进行专题报道。</w:t>
      </w:r>
    </w:p>
    <w:p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（4）交流学习“身边的学术榜样”。各学院对先进典型，采取经验交流、专题报告等形式，组织广大研究生开展面对面交流学习活动，激励广大研究生学习先进典型的成功经验，共同推动研究生学术成长与进步。</w:t>
      </w:r>
    </w:p>
    <w:p>
      <w:pPr>
        <w:ind w:firstLine="562" w:firstLineChars="200"/>
        <w:rPr>
          <w:rFonts w:ascii="宋体" w:hAnsi="宋体"/>
          <w:b/>
          <w:color w:val="FF0000"/>
          <w:kern w:val="0"/>
          <w:sz w:val="28"/>
          <w:szCs w:val="28"/>
        </w:rPr>
      </w:pPr>
      <w:r>
        <w:rPr>
          <w:rFonts w:ascii="宋体" w:hAnsi="宋体"/>
          <w:b/>
          <w:color w:val="FF0000"/>
          <w:kern w:val="0"/>
          <w:sz w:val="28"/>
          <w:szCs w:val="28"/>
        </w:rPr>
        <w:t>得分：按照活动安排准备相应的材料，在</w:t>
      </w:r>
      <w:r>
        <w:rPr>
          <w:rFonts w:hint="eastAsia" w:ascii="宋体" w:hAnsi="宋体"/>
          <w:b/>
          <w:color w:val="FF0000"/>
          <w:kern w:val="0"/>
          <w:sz w:val="28"/>
          <w:szCs w:val="28"/>
        </w:rPr>
        <w:t>北林研究生</w:t>
      </w:r>
      <w:r>
        <w:rPr>
          <w:rFonts w:ascii="宋体" w:hAnsi="宋体"/>
          <w:b/>
          <w:color w:val="FF0000"/>
          <w:kern w:val="0"/>
          <w:sz w:val="28"/>
          <w:szCs w:val="28"/>
        </w:rPr>
        <w:t>平台发表稿件</w:t>
      </w:r>
      <w:r>
        <w:rPr>
          <w:rFonts w:hint="eastAsia" w:ascii="宋体" w:hAnsi="宋体"/>
          <w:b/>
          <w:color w:val="FF0000"/>
          <w:kern w:val="0"/>
          <w:sz w:val="28"/>
          <w:szCs w:val="28"/>
        </w:rPr>
        <w:t>，</w:t>
      </w:r>
      <w:r>
        <w:rPr>
          <w:rFonts w:ascii="宋体" w:hAnsi="宋体"/>
          <w:b/>
          <w:color w:val="FF0000"/>
          <w:kern w:val="0"/>
          <w:sz w:val="28"/>
          <w:szCs w:val="28"/>
        </w:rPr>
        <w:t>得分=</w:t>
      </w:r>
      <w:r>
        <w:rPr>
          <w:rFonts w:hint="eastAsia" w:ascii="宋体" w:hAnsi="宋体"/>
          <w:b/>
          <w:color w:val="FF0000"/>
          <w:kern w:val="0"/>
          <w:sz w:val="28"/>
          <w:szCs w:val="28"/>
        </w:rPr>
        <w:t>(</w:t>
      </w:r>
      <w:r>
        <w:rPr>
          <w:rFonts w:ascii="宋体" w:hAnsi="宋体"/>
          <w:b/>
          <w:color w:val="FF0000"/>
          <w:kern w:val="0"/>
          <w:sz w:val="28"/>
          <w:szCs w:val="28"/>
        </w:rPr>
        <w:t>原创投稿数*1000+阅读人数</w:t>
      </w:r>
      <w:r>
        <w:rPr>
          <w:rFonts w:hint="eastAsia" w:ascii="宋体" w:hAnsi="宋体"/>
          <w:b/>
          <w:color w:val="FF0000"/>
          <w:kern w:val="0"/>
          <w:sz w:val="28"/>
          <w:szCs w:val="28"/>
        </w:rPr>
        <w:t>*1</w:t>
      </w:r>
      <w:r>
        <w:rPr>
          <w:rFonts w:ascii="宋体" w:hAnsi="宋体"/>
          <w:b/>
          <w:color w:val="FF0000"/>
          <w:kern w:val="0"/>
          <w:sz w:val="28"/>
          <w:szCs w:val="28"/>
        </w:rPr>
        <w:t>+点赞数*10</w:t>
      </w:r>
      <w:r>
        <w:rPr>
          <w:rFonts w:hint="eastAsia" w:ascii="宋体" w:hAnsi="宋体"/>
          <w:b/>
          <w:color w:val="FF0000"/>
          <w:kern w:val="0"/>
          <w:sz w:val="28"/>
          <w:szCs w:val="28"/>
        </w:rPr>
        <w:t>)</w:t>
      </w:r>
      <w:r>
        <w:rPr>
          <w:rFonts w:ascii="宋体" w:hAnsi="宋体"/>
          <w:b/>
          <w:color w:val="FF0000"/>
          <w:kern w:val="0"/>
          <w:sz w:val="28"/>
          <w:szCs w:val="28"/>
        </w:rPr>
        <w:t>*0.001</w:t>
      </w:r>
      <w:r>
        <w:rPr>
          <w:rFonts w:hint="eastAsia" w:ascii="宋体" w:hAnsi="宋体"/>
          <w:b/>
          <w:color w:val="FF0000"/>
          <w:kern w:val="0"/>
          <w:sz w:val="28"/>
          <w:szCs w:val="28"/>
        </w:rPr>
        <w:t>(校内每篇得分最高2分)；</w:t>
      </w:r>
      <w:r>
        <w:rPr>
          <w:rFonts w:ascii="宋体" w:hAnsi="宋体"/>
          <w:b/>
          <w:color w:val="FF0000"/>
          <w:kern w:val="0"/>
          <w:sz w:val="28"/>
          <w:szCs w:val="28"/>
        </w:rPr>
        <w:t>校外媒体专题报道在校内加分基础上再加1分。最多加至10分。</w:t>
      </w:r>
    </w:p>
    <w:p>
      <w:pPr>
        <w:ind w:firstLine="562" w:firstLineChars="200"/>
      </w:pPr>
      <w:r>
        <w:rPr>
          <w:rFonts w:hint="eastAsia" w:ascii="宋体" w:hAnsi="宋体"/>
          <w:b/>
          <w:color w:val="FF0000"/>
          <w:kern w:val="0"/>
          <w:sz w:val="28"/>
          <w:szCs w:val="28"/>
        </w:rPr>
        <w:t>注：校研究生会将对北京林业大学“校长奖学金”获得者进行专访，因此此项只针对各院采访的其他榜样人物加分。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第三条：奖励措施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、获奖单位将获得北京林业大学第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二十三</w:t>
      </w:r>
      <w:r>
        <w:rPr>
          <w:rFonts w:hint="eastAsia" w:ascii="仿宋_GB2312" w:hAnsi="宋体" w:eastAsia="仿宋_GB2312" w:cs="宋体"/>
          <w:sz w:val="32"/>
          <w:szCs w:val="32"/>
        </w:rPr>
        <w:t>届研究生学术文化节</w:t>
      </w:r>
      <w:r>
        <w:rPr>
          <w:rFonts w:ascii="仿宋_GB2312" w:hAnsi="宋体" w:eastAsia="仿宋_GB2312" w:cs="宋体"/>
          <w:sz w:val="32"/>
          <w:szCs w:val="32"/>
        </w:rPr>
        <w:t>“</w:t>
      </w:r>
      <w:r>
        <w:rPr>
          <w:rFonts w:hint="eastAsia" w:ascii="仿宋_GB2312" w:hAnsi="宋体" w:eastAsia="仿宋_GB2312" w:cs="宋体"/>
          <w:sz w:val="32"/>
          <w:szCs w:val="32"/>
        </w:rPr>
        <w:t>优秀组织奖</w:t>
      </w:r>
      <w:r>
        <w:rPr>
          <w:rFonts w:ascii="仿宋_GB2312" w:hAnsi="宋体" w:eastAsia="仿宋_GB2312" w:cs="宋体"/>
          <w:sz w:val="32"/>
          <w:szCs w:val="32"/>
        </w:rPr>
        <w:t>”</w:t>
      </w:r>
      <w:r>
        <w:rPr>
          <w:rFonts w:hint="eastAsia" w:ascii="仿宋_GB2312" w:hAnsi="宋体" w:eastAsia="仿宋_GB2312" w:cs="宋体"/>
          <w:sz w:val="32"/>
          <w:szCs w:val="32"/>
        </w:rPr>
        <w:t>荣誉称号。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2</w:t>
      </w:r>
      <w:r>
        <w:rPr>
          <w:rFonts w:hint="eastAsia" w:ascii="仿宋_GB2312" w:hAnsi="宋体" w:eastAsia="仿宋_GB2312" w:cs="宋体"/>
          <w:sz w:val="32"/>
          <w:szCs w:val="32"/>
        </w:rPr>
        <w:t>、北京林业大学第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二十三</w:t>
      </w:r>
      <w:r>
        <w:rPr>
          <w:rFonts w:hint="eastAsia" w:ascii="仿宋_GB2312" w:hAnsi="宋体" w:eastAsia="仿宋_GB2312" w:cs="宋体"/>
          <w:sz w:val="32"/>
          <w:szCs w:val="32"/>
        </w:rPr>
        <w:t>届研究生学术文化节</w:t>
      </w:r>
      <w:r>
        <w:rPr>
          <w:rFonts w:ascii="仿宋_GB2312" w:hAnsi="宋体" w:eastAsia="仿宋_GB2312" w:cs="宋体"/>
          <w:sz w:val="32"/>
          <w:szCs w:val="32"/>
        </w:rPr>
        <w:t>“</w:t>
      </w:r>
      <w:r>
        <w:rPr>
          <w:rFonts w:hint="eastAsia" w:ascii="仿宋_GB2312" w:hAnsi="宋体" w:eastAsia="仿宋_GB2312" w:cs="宋体"/>
          <w:sz w:val="32"/>
          <w:szCs w:val="32"/>
        </w:rPr>
        <w:t>优秀组织奖</w:t>
      </w:r>
      <w:r>
        <w:rPr>
          <w:rFonts w:ascii="仿宋_GB2312" w:hAnsi="宋体" w:eastAsia="仿宋_GB2312" w:cs="宋体"/>
          <w:sz w:val="32"/>
          <w:szCs w:val="32"/>
        </w:rPr>
        <w:t>”</w:t>
      </w:r>
      <w:r>
        <w:rPr>
          <w:rFonts w:hint="eastAsia" w:ascii="仿宋_GB2312" w:hAnsi="宋体" w:eastAsia="仿宋_GB2312" w:cs="宋体"/>
          <w:sz w:val="32"/>
          <w:szCs w:val="32"/>
        </w:rPr>
        <w:t>的荣誉称号作为参评优秀院研会的参考依据之一。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第四条：说明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本评奖细则的最终解释权归北京林业大学第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二十三</w:t>
      </w:r>
      <w:r>
        <w:rPr>
          <w:rFonts w:hint="eastAsia" w:ascii="仿宋_GB2312" w:hAnsi="宋体" w:eastAsia="仿宋_GB2312" w:cs="宋体"/>
          <w:sz w:val="32"/>
          <w:szCs w:val="32"/>
        </w:rPr>
        <w:t>届研究生学术文化节组织委员会所有。</w:t>
      </w:r>
    </w:p>
    <w:p>
      <w:pPr>
        <w:adjustRightInd w:val="0"/>
        <w:snapToGrid w:val="0"/>
        <w:spacing w:line="360" w:lineRule="auto"/>
        <w:jc w:val="righ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北京林业大学研究生会</w:t>
      </w:r>
      <w:bookmarkStart w:id="2" w:name="_GoBack"/>
      <w:bookmarkEnd w:id="2"/>
    </w:p>
    <w:p>
      <w:pPr>
        <w:spacing w:line="360" w:lineRule="auto"/>
        <w:jc w:val="righ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二〇一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八</w:t>
      </w:r>
      <w:r>
        <w:rPr>
          <w:rFonts w:hint="eastAsia" w:ascii="仿宋_GB2312" w:hAnsi="宋体" w:eastAsia="仿宋_GB2312" w:cs="宋体"/>
          <w:sz w:val="32"/>
          <w:szCs w:val="32"/>
        </w:rPr>
        <w:t>年十月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十七</w:t>
      </w:r>
      <w:r>
        <w:rPr>
          <w:rFonts w:hint="eastAsia" w:ascii="仿宋_GB2312" w:hAnsi="宋体" w:eastAsia="仿宋_GB2312" w:cs="宋体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57605374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2A88"/>
    <w:rsid w:val="000D19A6"/>
    <w:rsid w:val="001069E4"/>
    <w:rsid w:val="0011016E"/>
    <w:rsid w:val="00132A88"/>
    <w:rsid w:val="00156C52"/>
    <w:rsid w:val="002926C0"/>
    <w:rsid w:val="00357319"/>
    <w:rsid w:val="003749DB"/>
    <w:rsid w:val="003D465F"/>
    <w:rsid w:val="004023F8"/>
    <w:rsid w:val="00461943"/>
    <w:rsid w:val="0053044D"/>
    <w:rsid w:val="00543E87"/>
    <w:rsid w:val="0056081D"/>
    <w:rsid w:val="005C41F8"/>
    <w:rsid w:val="008F23A1"/>
    <w:rsid w:val="0097566D"/>
    <w:rsid w:val="009C7E71"/>
    <w:rsid w:val="00A5034B"/>
    <w:rsid w:val="00A84FDD"/>
    <w:rsid w:val="00B46EED"/>
    <w:rsid w:val="00C06370"/>
    <w:rsid w:val="00D20956"/>
    <w:rsid w:val="00DB0884"/>
    <w:rsid w:val="00E543C9"/>
    <w:rsid w:val="00F33277"/>
    <w:rsid w:val="00F75DE6"/>
    <w:rsid w:val="0FAA2311"/>
    <w:rsid w:val="1C9A6CDA"/>
    <w:rsid w:val="1FE14B53"/>
    <w:rsid w:val="207C3AA9"/>
    <w:rsid w:val="331845BA"/>
    <w:rsid w:val="535A71CB"/>
    <w:rsid w:val="65667E6E"/>
    <w:rsid w:val="7787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3"/>
    <w:unhideWhenUsed/>
    <w:qFormat/>
    <w:uiPriority w:val="99"/>
    <w:rPr>
      <w:b/>
      <w:bCs/>
    </w:rPr>
  </w:style>
  <w:style w:type="paragraph" w:styleId="3">
    <w:name w:val="annotation text"/>
    <w:basedOn w:val="1"/>
    <w:link w:val="12"/>
    <w:unhideWhenUsed/>
    <w:qFormat/>
    <w:uiPriority w:val="99"/>
    <w:pPr>
      <w:jc w:val="left"/>
    </w:p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unhideWhenUsed/>
    <w:uiPriority w:val="99"/>
    <w:rPr>
      <w:sz w:val="21"/>
      <w:szCs w:val="21"/>
    </w:rPr>
  </w:style>
  <w:style w:type="character" w:customStyle="1" w:styleId="10">
    <w:name w:val="页眉 Char"/>
    <w:basedOn w:val="7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批注文字 Char"/>
    <w:basedOn w:val="7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13">
    <w:name w:val="批注主题 Char"/>
    <w:basedOn w:val="12"/>
    <w:link w:val="2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14">
    <w:name w:val="批注框文本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423</Words>
  <Characters>2416</Characters>
  <Lines>20</Lines>
  <Paragraphs>5</Paragraphs>
  <TotalTime>22</TotalTime>
  <ScaleCrop>false</ScaleCrop>
  <LinksUpToDate>false</LinksUpToDate>
  <CharactersWithSpaces>2834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2015-10-21T13:43:00Z</dcterms:created>
  <dc:creator>apple</dc:creator>
  <cp:lastModifiedBy>淡沫1387692777</cp:lastModifiedBy>
  <dcterms:modified xsi:type="dcterms:W3CDTF">2018-10-16T07:15:36Z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