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0E" w:rsidRDefault="005614FE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5132D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5132D6">
        <w:rPr>
          <w:rFonts w:ascii="黑体" w:eastAsia="黑体" w:hAnsi="黑体" w:cs="黑体"/>
          <w:color w:val="000000"/>
          <w:sz w:val="32"/>
          <w:szCs w:val="32"/>
        </w:rPr>
        <w:t>1:</w:t>
      </w:r>
    </w:p>
    <w:p w:rsidR="00815A0E" w:rsidRDefault="005614FE">
      <w:pPr>
        <w:spacing w:line="60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 w:rsidRPr="005132D6">
        <w:rPr>
          <w:rFonts w:ascii="宋体" w:hAnsi="宋体" w:cs="宋体"/>
          <w:b/>
          <w:bCs/>
          <w:color w:val="000000"/>
          <w:sz w:val="44"/>
          <w:szCs w:val="44"/>
        </w:rPr>
        <w:t>2017</w:t>
      </w:r>
      <w:r w:rsidRPr="005132D6">
        <w:rPr>
          <w:rFonts w:ascii="宋体" w:hAnsi="宋体" w:cs="宋体" w:hint="eastAsia"/>
          <w:b/>
          <w:bCs/>
          <w:color w:val="000000"/>
          <w:sz w:val="44"/>
          <w:szCs w:val="44"/>
        </w:rPr>
        <w:t>年“百名博士防城港行”</w:t>
      </w:r>
    </w:p>
    <w:p w:rsidR="00815A0E" w:rsidRDefault="005614FE">
      <w:pPr>
        <w:spacing w:line="60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 w:rsidRPr="005132D6">
        <w:rPr>
          <w:rFonts w:ascii="宋体" w:hAnsi="宋体" w:cs="宋体" w:hint="eastAsia"/>
          <w:b/>
          <w:bCs/>
          <w:color w:val="000000"/>
          <w:sz w:val="44"/>
          <w:szCs w:val="44"/>
        </w:rPr>
        <w:t>科技研发项目需求表</w:t>
      </w:r>
    </w:p>
    <w:p w:rsidR="00815A0E" w:rsidRDefault="00815A0E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tbl>
      <w:tblPr>
        <w:tblW w:w="9960" w:type="dxa"/>
        <w:tblInd w:w="-106" w:type="dxa"/>
        <w:tblLook w:val="00A0" w:firstRow="1" w:lastRow="0" w:firstColumn="1" w:lastColumn="0" w:noHBand="0" w:noVBand="0"/>
      </w:tblPr>
      <w:tblGrid>
        <w:gridCol w:w="486"/>
        <w:gridCol w:w="1356"/>
        <w:gridCol w:w="1559"/>
        <w:gridCol w:w="3988"/>
        <w:gridCol w:w="1316"/>
        <w:gridCol w:w="1255"/>
      </w:tblGrid>
      <w:tr w:rsidR="005614FE" w:rsidRPr="005132D6" w:rsidTr="003E3908">
        <w:trPr>
          <w:trHeight w:val="8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研发内容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5614FE" w:rsidRPr="005132D6" w:rsidTr="003E3908">
        <w:trPr>
          <w:trHeight w:val="83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防城港市农业技术推广服务中心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富硒农产品开发项目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针对我市特色农作物开发富硒农产品。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农学等相关专业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14FE" w:rsidRPr="005132D6" w:rsidTr="003E3908">
        <w:trPr>
          <w:trHeight w:val="7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广西金川有色金属有限公司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铜冶炼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双闪系统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高效除杂技术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针对“闪速熔炼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+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闪速吹炼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+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阳极炉精炼”工艺，开展低成本高效除杂（</w:t>
            </w:r>
            <w:proofErr w:type="spellStart"/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Pb</w:t>
            </w:r>
            <w:proofErr w:type="spell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Zn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As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等）研究，可对火法处理高杂质铜精矿提供有利的支持。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有色冶金等相关专业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理论扎实，有相关经验。</w:t>
            </w:r>
          </w:p>
        </w:tc>
      </w:tr>
      <w:tr w:rsidR="005614FE" w:rsidRPr="005132D6" w:rsidTr="003E3908">
        <w:trPr>
          <w:trHeight w:val="7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铜冶炼烟气三氧化硫控制研究及监测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针对双闪两台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炉子反应生成的二氧化硫烟气中夹杂的三氧化硫进行控制及监测，在充分对烟灰盐化的情况下，有效降低三氧化硫产生率。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9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铜湿法电解高效除杂研究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采用不锈钢永久阴极法工艺生产阴极铜，针对铜湿法电解液中的杂质（不同价位的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As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Pb</w:t>
            </w:r>
            <w:proofErr w:type="spell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Bi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）等开展研究，采用自净化、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净液方法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使电解液中的杂质有效脱除，不影响产品质量。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9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高电流密度生产阴极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铜研究</w:t>
            </w:r>
            <w:proofErr w:type="gramEnd"/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采用不锈钢永久阴极法工艺生产阴极铜，将电流密度提升后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出现电效降低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、阴极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铜质量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等问题。将开展电流密度为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325A/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㎡的研究，稳定生产工艺，保证产品质量，提高生产效率。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5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</w:t>
            </w:r>
          </w:p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业余体校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武术散打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武术散打。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体育专业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14FE" w:rsidRPr="005132D6" w:rsidTr="003E3908">
        <w:trPr>
          <w:trHeight w:val="4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跆拳道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跆拳道。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4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广西惠禹粮油工业有限公司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一级大豆油回色问题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大豆油脂加工后一级油出现回色。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化学类等</w:t>
            </w:r>
          </w:p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熟悉粮油加技术以及加工设备。</w:t>
            </w:r>
          </w:p>
        </w:tc>
      </w:tr>
      <w:tr w:rsidR="005614FE" w:rsidRPr="005132D6" w:rsidTr="003E3908">
        <w:trPr>
          <w:trHeight w:val="2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粕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团问题</w:t>
            </w:r>
            <w:proofErr w:type="gramEnd"/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DT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（蒸脱机）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粕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结团问题。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2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棕榈油结晶问题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解决棕榈油结晶问题。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12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港工基础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设施建设开发投资有限责任公司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防城港东盟海鲜物流中心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海鲜物流中心的运营管理。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冷链物流及海洋经济、电子商务、企业经营管理等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14FE" w:rsidRPr="005132D6" w:rsidTr="003E3908">
        <w:trPr>
          <w:trHeight w:val="12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防城港市委</w:t>
            </w:r>
          </w:p>
          <w:p w:rsidR="00815A0E" w:rsidRDefault="005614F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人才办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归人才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创新创业问题研究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研究为海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归人才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提供创新创业环境。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有海外留学经历的硕士研究生以上。</w:t>
            </w:r>
          </w:p>
        </w:tc>
      </w:tr>
    </w:tbl>
    <w:p w:rsidR="00815A0E" w:rsidRDefault="00815A0E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tbl>
      <w:tblPr>
        <w:tblW w:w="9840" w:type="dxa"/>
        <w:tblInd w:w="-106" w:type="dxa"/>
        <w:tblLook w:val="00A0" w:firstRow="1" w:lastRow="0" w:firstColumn="1" w:lastColumn="0" w:noHBand="0" w:noVBand="0"/>
      </w:tblPr>
      <w:tblGrid>
        <w:gridCol w:w="480"/>
        <w:gridCol w:w="1340"/>
        <w:gridCol w:w="1540"/>
        <w:gridCol w:w="3940"/>
        <w:gridCol w:w="1300"/>
        <w:gridCol w:w="1240"/>
      </w:tblGrid>
      <w:tr w:rsidR="005614FE" w:rsidRPr="005132D6" w:rsidTr="003E3908">
        <w:trPr>
          <w:trHeight w:val="8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研发内容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5614FE" w:rsidRPr="005132D6" w:rsidTr="003E3908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</w:t>
            </w:r>
          </w:p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传统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文化八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桂行走进防城港市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培养防城港市开展传统文化教育的师资力量，推动中小学“立德树人”更好落实，助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推教育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教学质量提升。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教育学、汉语言文学、历史学等</w:t>
            </w:r>
            <w:r w:rsidRPr="005132D6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教师团队优先。</w:t>
            </w:r>
          </w:p>
        </w:tc>
      </w:tr>
      <w:tr w:rsidR="005614FE" w:rsidRPr="005132D6" w:rsidTr="003E3908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EF2949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EF294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EF2949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EF29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上思县</w:t>
            </w:r>
          </w:p>
          <w:p w:rsidR="00815A0E" w:rsidRPr="00EF2949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EF29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住建局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EF2949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EF29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城乡规划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EF2949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EF29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上思县城总体规划和“一村一镇”规划。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EF2949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EF29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城市规划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EF2949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EF294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 xml:space="preserve">　</w:t>
            </w:r>
          </w:p>
        </w:tc>
      </w:tr>
      <w:tr w:rsidR="005614FE" w:rsidRPr="005132D6" w:rsidTr="003E3908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AE257F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E257F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AE257F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AE25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上思县</w:t>
            </w:r>
          </w:p>
          <w:p w:rsidR="00815A0E" w:rsidRPr="00AE257F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E25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旅游局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AE257F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E25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生态旅游开发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AE257F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E25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上思县生态旅游开发与策划。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AE257F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E25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旅游管理等相关专业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AE257F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E257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 xml:space="preserve">　</w:t>
            </w:r>
          </w:p>
        </w:tc>
      </w:tr>
      <w:tr w:rsidR="005614FE" w:rsidRPr="005132D6" w:rsidTr="003E3908">
        <w:trPr>
          <w:trHeight w:val="6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</w:t>
            </w:r>
          </w:p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工信局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伊蒙粘土新产品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非金属新材料、新型建材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纳米伊蒙粘土产品及加工工艺技术研究。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3A6E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材料科学与工程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14FE" w:rsidRPr="005132D6" w:rsidTr="003E3908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3A6E9C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proofErr w:type="gramStart"/>
            <w:r w:rsidRPr="003A6E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林板深加工</w:t>
            </w:r>
            <w:proofErr w:type="gramEnd"/>
            <w:r w:rsidRPr="003A6E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环保新产品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3A6E9C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3A6E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新型建材</w:t>
            </w:r>
            <w:r w:rsidRPr="003A6E9C">
              <w:rPr>
                <w:rFonts w:asci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、</w:t>
            </w:r>
            <w:r w:rsidRPr="003A6E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木材深加工新产品开发研究。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AA4292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A42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广西十万大山</w:t>
            </w:r>
            <w:proofErr w:type="gramStart"/>
            <w:r w:rsidRPr="00AA42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万蝶谷旅游</w:t>
            </w:r>
            <w:proofErr w:type="gramEnd"/>
            <w:r w:rsidRPr="00AA42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开发有限公司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AA4292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A42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生态旅游开发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AA4292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A42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生态旅游开发与策划。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AA4292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A42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旅游管理等相关专业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AA4292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AA42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 xml:space="preserve">　</w:t>
            </w:r>
          </w:p>
        </w:tc>
      </w:tr>
      <w:tr w:rsidR="005614FE" w:rsidRPr="005132D6" w:rsidTr="003E3908">
        <w:trPr>
          <w:trHeight w:val="11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广西皇袍山农业开发有限公司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大果山楂种植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大果山楂育苗、栽培技术。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B01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农学等相关专业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14FE" w:rsidRPr="005132D6" w:rsidTr="003E3908">
        <w:trPr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0B01F0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0B01F0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大果山楂系列产品的研发与策划。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广西东兴山峰石斛有限公司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铁皮石斛、果树繁育与种植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石斛安全保障关键技术应用研究与示范。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果树繁育与种植等相关专业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0B01F0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0B01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熟悉育苗及种植管理。</w:t>
            </w:r>
          </w:p>
        </w:tc>
      </w:tr>
      <w:tr w:rsidR="005614FE" w:rsidRPr="005132D6" w:rsidTr="003E3908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东兴市鸿生实业有限</w:t>
            </w:r>
          </w:p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对虾优良新品系选育与养殖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新品系对虾的选育、培育和养殖研究。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水生生物学、生物遗传学、水产养殖等相关专业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14FE" w:rsidRPr="005132D6" w:rsidTr="003E3908">
        <w:trPr>
          <w:trHeight w:val="8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养殖废水处理项目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养殖废水的处理和循环用水研究。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64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海水工厂化养殖项目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工厂化养殖基地的规划设计等，工厂化养殖模式研究和设计。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12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51030E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5103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东兴市百果香旅游投资开发有限</w:t>
            </w:r>
          </w:p>
          <w:p w:rsidR="00815A0E" w:rsidRPr="005103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5103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5103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5103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百果香山庄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5103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5103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地方特色茶艺研发、产品策划、种养技术指导。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5103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5103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规划、农学等相关专业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5103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5103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 xml:space="preserve">　</w:t>
            </w:r>
          </w:p>
        </w:tc>
      </w:tr>
      <w:tr w:rsidR="005614FE" w:rsidRPr="005132D6" w:rsidTr="003E3908">
        <w:trPr>
          <w:trHeight w:val="11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广西防城港美好涂料</w:t>
            </w:r>
          </w:p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内墙净味抗污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驱蚊涂料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净味抗污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驱蚊；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材料收集。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化工类等</w:t>
            </w:r>
            <w:r w:rsidRPr="005132D6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对水性环保涂料研发有一定的兴趣爱好。</w:t>
            </w:r>
          </w:p>
        </w:tc>
      </w:tr>
    </w:tbl>
    <w:p w:rsidR="00815A0E" w:rsidRDefault="00815A0E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p w:rsidR="00815A0E" w:rsidRDefault="00815A0E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tbl>
      <w:tblPr>
        <w:tblW w:w="9840" w:type="dxa"/>
        <w:tblInd w:w="-106" w:type="dxa"/>
        <w:tblLook w:val="00A0" w:firstRow="1" w:lastRow="0" w:firstColumn="1" w:lastColumn="0" w:noHBand="0" w:noVBand="0"/>
      </w:tblPr>
      <w:tblGrid>
        <w:gridCol w:w="480"/>
        <w:gridCol w:w="1340"/>
        <w:gridCol w:w="1540"/>
        <w:gridCol w:w="3940"/>
        <w:gridCol w:w="1300"/>
        <w:gridCol w:w="1240"/>
      </w:tblGrid>
      <w:tr w:rsidR="005614FE" w:rsidRPr="005132D6" w:rsidTr="003E3908">
        <w:trPr>
          <w:trHeight w:val="8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研发内容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5614FE" w:rsidRPr="005132D6" w:rsidTr="003E3908">
        <w:trPr>
          <w:trHeight w:val="11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防城港市中能生物能源投资有限</w:t>
            </w:r>
          </w:p>
          <w:p w:rsidR="00815A0E" w:rsidRPr="00BF1D4F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废机油催化裂化制备燃油及其污水处理研究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涉及废机油催化裂化催化剂、催化裂化工艺以及废机油含油废水无害化处理等方面研究。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生物、化工、能源、环境工程等相关专业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熟悉生物能源工程、生物酶研究与应用、发酵工程与技术、餐厨垃圾处理、废弃资源利用、含油废水处理等领域。</w:t>
            </w:r>
          </w:p>
        </w:tc>
      </w:tr>
      <w:tr w:rsidR="005614FE" w:rsidRPr="005132D6" w:rsidTr="003E3908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BF1D4F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proofErr w:type="gramStart"/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皂脚制备</w:t>
            </w:r>
            <w:proofErr w:type="gramEnd"/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酸化油清洁化生产及其废水无害化处理研究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涉及寻找替代硫酸</w:t>
            </w:r>
            <w:proofErr w:type="gramStart"/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酸化皂脚制备</w:t>
            </w:r>
            <w:proofErr w:type="gramEnd"/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酸化油的清洁生产工艺，减少高含酸废水产生量，同时进行</w:t>
            </w:r>
            <w:proofErr w:type="gramStart"/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提取皂脚中</w:t>
            </w:r>
            <w:proofErr w:type="gramEnd"/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其他高附加值成分方面的研究，以及生产过程废水无害化、资源化处理研究。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BF1D4F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生物柴油脂肪酶及其工程化应用研究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涉及生物柴油脂肪酶开发及其催化制备生物柴油生产工艺等研究。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防城港市海洋局港口区分局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港口区海洋经济发展研究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立足港口区海洋经济发展现状，为港口区海洋经济发展出谋划策。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14FE" w:rsidRPr="005132D6" w:rsidTr="003E3908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山心沙岛、山新岸线生态整治修复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就港口区山心沙岛、山新岸线生态修复项目，提出相应的意见和建议。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BF1D4F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BF1D4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规划学、土木工程、农学类等相关专业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614FE" w:rsidRPr="005132D6" w:rsidTr="003E3908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丰禾曲辰农业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</w:t>
            </w:r>
          </w:p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农作物害虫生物特征识别的深度学习技术研发与应用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与高校合作，建立图像识别程序开发团队；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建立作物病虫害图像云数据库；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根据病虫害图像特点，构建先进的病虫害图像识别系列算法；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建立针对客户的手机客户端软件；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建立可高速运算处理及安全数据备份的服务器群。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信息系统</w:t>
            </w:r>
            <w:r w:rsidRPr="005132D6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熟悉图像识别。</w:t>
            </w:r>
          </w:p>
        </w:tc>
      </w:tr>
      <w:tr w:rsidR="005614FE" w:rsidRPr="005132D6" w:rsidTr="003E3908">
        <w:trPr>
          <w:trHeight w:val="3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广西越洋生物技术有限公司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广西亚热带果树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化肥减施增效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技术集成研究与示范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聚磷酸铵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螯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合水溶性肥料与有机肥料、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缓控释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肥料配施技术研究。根据柑橘、芒果、葡萄的需肥特性及广西不同地区果园的土壤养分供应状况，应用聚磷酸铵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螯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合中微量元素水溶性肥料，研究其与有机肥料、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缓控释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肥料配合在柑橘、芒果、葡萄有机营养及大量、中量和微量营养平衡施肥的技术研究，及其组合对果园土壤生态、果树生产的效应；探索出最佳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化肥减施增效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技术模式。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聚磷酸铵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螯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合水溶性肥料施用技术研究，研究注射施肥、水肥一体化设施施肥、表施后喷水淋溶等三种施肥方式对柑橘、芒果、葡萄吸收利用聚磷酸铵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螯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合水溶性肥料养分的效应，以及果树养分平衡效应，探索出适宜不同种植规模和投资规模果园的</w:t>
            </w:r>
            <w:proofErr w:type="gramStart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化肥减施增效</w:t>
            </w:r>
            <w:proofErr w:type="gramEnd"/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技术模式。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需要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到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人。</w:t>
            </w:r>
          </w:p>
        </w:tc>
      </w:tr>
    </w:tbl>
    <w:p w:rsidR="00815A0E" w:rsidRDefault="00815A0E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p w:rsidR="00815A0E" w:rsidRDefault="00815A0E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tbl>
      <w:tblPr>
        <w:tblW w:w="9840" w:type="dxa"/>
        <w:tblInd w:w="-106" w:type="dxa"/>
        <w:tblLook w:val="00A0" w:firstRow="1" w:lastRow="0" w:firstColumn="1" w:lastColumn="0" w:noHBand="0" w:noVBand="0"/>
      </w:tblPr>
      <w:tblGrid>
        <w:gridCol w:w="480"/>
        <w:gridCol w:w="1340"/>
        <w:gridCol w:w="1540"/>
        <w:gridCol w:w="3940"/>
        <w:gridCol w:w="1300"/>
        <w:gridCol w:w="1240"/>
      </w:tblGrid>
      <w:tr w:rsidR="005614FE" w:rsidRPr="005132D6" w:rsidTr="003E3908">
        <w:trPr>
          <w:trHeight w:val="8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研发内容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5614FE" w:rsidRPr="005132D6" w:rsidTr="003E3908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广西防城港五星环保科技股份有限公司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年产</w:t>
            </w: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万吨硫酸镁项目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以烷基化废硫酸生产高纯度硫酸镁新技术。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化工、环保等相关专业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14FE" w:rsidRPr="005132D6" w:rsidTr="003E3908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3E7D6E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3E7D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防城区</w:t>
            </w:r>
          </w:p>
          <w:p w:rsidR="00815A0E" w:rsidRPr="003E7D6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3E7D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人民法院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3E7D6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3E7D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海洋、环境保护相关法律研究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3E7D6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3E7D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环境公益诉讼、近岸海域环境保护。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3E7D6E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3E7D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法学、环境学等相关</w:t>
            </w:r>
          </w:p>
          <w:p w:rsidR="00815A0E" w:rsidRPr="003E7D6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3E7D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3E7D6E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3E7D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 xml:space="preserve">　</w:t>
            </w:r>
          </w:p>
        </w:tc>
      </w:tr>
      <w:tr w:rsidR="005614FE" w:rsidRPr="005132D6" w:rsidTr="003E3908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CE42E5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CE42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防城区</w:t>
            </w:r>
          </w:p>
          <w:p w:rsidR="00815A0E" w:rsidRPr="00CE42E5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CE42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林业局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CE42E5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CE42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森林生态旅游研究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CE42E5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CE42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森林生态旅游策划。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CE42E5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CE42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林学、旅游管理、生态学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CE42E5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CE42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 xml:space="preserve">　</w:t>
            </w:r>
          </w:p>
        </w:tc>
      </w:tr>
      <w:tr w:rsidR="005614FE" w:rsidRPr="005132D6" w:rsidTr="003E3908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防</w:t>
            </w:r>
            <w:proofErr w:type="gramStart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城区那梭</w:t>
            </w:r>
            <w:proofErr w:type="gramEnd"/>
            <w:r w:rsidRPr="004E5D69"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  <w:br/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香料厂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香茅产业深加工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香茅牛肉酱的深加工。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食品加工</w:t>
            </w:r>
          </w:p>
          <w:p w:rsidR="00815A0E" w:rsidRPr="004E5D69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从事食品行业深加工和研发的团队。</w:t>
            </w:r>
          </w:p>
        </w:tc>
      </w:tr>
      <w:tr w:rsidR="005614FE" w:rsidRPr="004E5D69" w:rsidTr="003E3908">
        <w:trPr>
          <w:trHeight w:val="60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广西</w:t>
            </w:r>
            <w:proofErr w:type="gramStart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桂人堂金花茶</w:t>
            </w:r>
            <w:proofErr w:type="gramEnd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产业集团股份有限公司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基于宏有机体通路研究的金花茶功效因子的研究及产品开发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研发金花茶功效因子。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微生态学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spacing w:line="300" w:lineRule="exact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1.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具有博士学位和高级专业技术职称，就职于高等学校或科研院所；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2.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年龄在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45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周岁以下；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3.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在微生态研究领域已取得一定研究成果，以第一作者或通讯作者发表相关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SCI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收录论文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10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篇及以上，主持微生态领域科研课题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3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项及以上；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4.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有海外</w:t>
            </w:r>
            <w:proofErr w:type="gramStart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留经历</w:t>
            </w:r>
            <w:proofErr w:type="gramEnd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者、博士后研究经历者、及中华预防医学会微生态分会委员优先。</w:t>
            </w:r>
          </w:p>
        </w:tc>
      </w:tr>
    </w:tbl>
    <w:p w:rsidR="00815A0E" w:rsidRPr="004E5D69" w:rsidRDefault="00815A0E"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  <w:highlight w:val="yellow"/>
        </w:rPr>
      </w:pPr>
    </w:p>
    <w:tbl>
      <w:tblPr>
        <w:tblW w:w="9840" w:type="dxa"/>
        <w:tblInd w:w="-106" w:type="dxa"/>
        <w:tblLook w:val="00A0" w:firstRow="1" w:lastRow="0" w:firstColumn="1" w:lastColumn="0" w:noHBand="0" w:noVBand="0"/>
      </w:tblPr>
      <w:tblGrid>
        <w:gridCol w:w="480"/>
        <w:gridCol w:w="1340"/>
        <w:gridCol w:w="1540"/>
        <w:gridCol w:w="3940"/>
        <w:gridCol w:w="1300"/>
        <w:gridCol w:w="1240"/>
      </w:tblGrid>
      <w:tr w:rsidR="005614FE" w:rsidRPr="004E5D69" w:rsidTr="003E3908">
        <w:trPr>
          <w:trHeight w:val="8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单位名称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项目名称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研发内容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专业要求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其他相关要求</w:t>
            </w:r>
          </w:p>
        </w:tc>
      </w:tr>
      <w:tr w:rsidR="005614FE" w:rsidRPr="005132D6" w:rsidTr="003E3908">
        <w:trPr>
          <w:trHeight w:val="3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广西</w:t>
            </w:r>
            <w:proofErr w:type="gramStart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桂人堂金花茶</w:t>
            </w:r>
            <w:proofErr w:type="gramEnd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产业集团股份有限公司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proofErr w:type="gramStart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防普金花茶</w:t>
            </w:r>
            <w:proofErr w:type="gramEnd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提高机体免疫应答水平评价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研发具有肝脏疾病辅助治疗作用的特殊医学用途食品（</w:t>
            </w:r>
            <w:proofErr w:type="gramStart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特</w:t>
            </w:r>
            <w:proofErr w:type="gramEnd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膳食品）。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免疫学、分子生物学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1.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具有博士学位和高级专业技术职称，就职于高等学校或科研院所；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2.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年龄在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50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周岁以下；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3.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发表相关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SCI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收录论文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10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篇以上，主持国家自然科学课题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2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项以上；</w:t>
            </w:r>
            <w:r w:rsidRPr="004E5D69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4.</w:t>
            </w: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海外</w:t>
            </w:r>
            <w:proofErr w:type="gramStart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留经历</w:t>
            </w:r>
            <w:proofErr w:type="gramEnd"/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者、博士后研究经历者优先。</w:t>
            </w:r>
          </w:p>
        </w:tc>
      </w:tr>
      <w:tr w:rsidR="005614FE" w:rsidRPr="005132D6" w:rsidTr="003E3908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广西中港高科国宝金花茶产业有限公司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十万大山珍稀中草药（金花茶）研究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系统开发十万大山珍稀植物的高端产品。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农业、林业、精细化工、食品药学、生物科技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 xml:space="preserve">　</w:t>
            </w:r>
          </w:p>
        </w:tc>
      </w:tr>
      <w:tr w:rsidR="005614FE" w:rsidRPr="005132D6" w:rsidTr="003E3908">
        <w:trPr>
          <w:trHeight w:val="1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金花茶、沉香等名贵植物的可持续性发展的应用基础性研究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4E5D69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4E5D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开发金花茶、沉香等十万大山珍稀植物的高端产品。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4E5D69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A0E" w:rsidRPr="004E5D69" w:rsidRDefault="00815A0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5614FE" w:rsidRPr="005132D6" w:rsidTr="003E3908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A0E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E064B2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proofErr w:type="gramStart"/>
            <w:r w:rsidRPr="00E064B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广西国茗金花茶</w:t>
            </w:r>
            <w:proofErr w:type="gramEnd"/>
            <w:r w:rsidRPr="00E064B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科技有限公司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E064B2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E064B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金花茶鲜花系列养生食品研究与开发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E064B2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E064B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开展金花茶花饼、酒、酱、果脯、饮料等方面金花茶鲜花养生食品研究，开发富有广西地方特色的金花茶鲜花系列养生食品，建立金花茶鲜花养生食品研发机构，规模化、标准化生产金花茶鲜花食品。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E064B2" w:rsidRDefault="005614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E064B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食品加工</w:t>
            </w:r>
            <w:r w:rsidRPr="00E064B2"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  <w:br/>
            </w:r>
            <w:r w:rsidRPr="00E064B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技术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A0E" w:rsidRPr="00E064B2" w:rsidRDefault="005614F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E064B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熟悉食品加工技术，熟悉深加工产品及深加工设备，能独立完成食品加工流程。</w:t>
            </w:r>
          </w:p>
        </w:tc>
      </w:tr>
    </w:tbl>
    <w:p w:rsidR="00815A0E" w:rsidRDefault="00815A0E">
      <w:pPr>
        <w:rPr>
          <w:rFonts w:cs="Times New Roman"/>
        </w:rPr>
      </w:pPr>
    </w:p>
    <w:sectPr w:rsidR="00815A0E" w:rsidSect="00F20D84">
      <w:footerReference w:type="default" r:id="rId6"/>
      <w:pgSz w:w="11906" w:h="16838" w:code="9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B9" w:rsidRDefault="00350B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0BB9" w:rsidRDefault="00350B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A0E" w:rsidRDefault="00350BB9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E064B2" w:rsidRPr="00E064B2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815A0E" w:rsidRDefault="00815A0E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B9" w:rsidRDefault="00350B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0BB9" w:rsidRDefault="00350B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D84"/>
    <w:rsid w:val="0004376E"/>
    <w:rsid w:val="000574EE"/>
    <w:rsid w:val="000B01F0"/>
    <w:rsid w:val="00153D26"/>
    <w:rsid w:val="0016705C"/>
    <w:rsid w:val="002435F1"/>
    <w:rsid w:val="00350BB9"/>
    <w:rsid w:val="00365A65"/>
    <w:rsid w:val="003A6E9C"/>
    <w:rsid w:val="003E3908"/>
    <w:rsid w:val="003E7D6E"/>
    <w:rsid w:val="003F142D"/>
    <w:rsid w:val="00411157"/>
    <w:rsid w:val="00490271"/>
    <w:rsid w:val="004E5D69"/>
    <w:rsid w:val="0051030E"/>
    <w:rsid w:val="005132D6"/>
    <w:rsid w:val="005614FE"/>
    <w:rsid w:val="00610BD0"/>
    <w:rsid w:val="00815A0E"/>
    <w:rsid w:val="00822624"/>
    <w:rsid w:val="008E7177"/>
    <w:rsid w:val="00913E2B"/>
    <w:rsid w:val="009838B8"/>
    <w:rsid w:val="00AA4292"/>
    <w:rsid w:val="00AE257F"/>
    <w:rsid w:val="00B97B8B"/>
    <w:rsid w:val="00BF1D4F"/>
    <w:rsid w:val="00CA390D"/>
    <w:rsid w:val="00CB3045"/>
    <w:rsid w:val="00CE42E5"/>
    <w:rsid w:val="00E064B2"/>
    <w:rsid w:val="00EF2949"/>
    <w:rsid w:val="00F20D84"/>
    <w:rsid w:val="00F3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BBAE8AE-5CE2-4ED2-BB8E-AC59F0AF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6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53D26"/>
    <w:rPr>
      <w:sz w:val="18"/>
      <w:szCs w:val="18"/>
    </w:rPr>
  </w:style>
  <w:style w:type="paragraph" w:styleId="a4">
    <w:name w:val="footer"/>
    <w:basedOn w:val="a"/>
    <w:link w:val="Char0"/>
    <w:uiPriority w:val="99"/>
    <w:rsid w:val="0015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53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543</Words>
  <Characters>3097</Characters>
  <Application>Microsoft Office Word</Application>
  <DocSecurity>0</DocSecurity>
  <Lines>25</Lines>
  <Paragraphs>7</Paragraphs>
  <ScaleCrop>false</ScaleCrop>
  <Company>Microsoft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19</cp:revision>
  <dcterms:created xsi:type="dcterms:W3CDTF">2017-05-09T11:46:00Z</dcterms:created>
  <dcterms:modified xsi:type="dcterms:W3CDTF">2017-05-17T02:35:00Z</dcterms:modified>
</cp:coreProperties>
</file>